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4A055" w14:textId="77777777" w:rsidR="00763F26" w:rsidRDefault="00763F26" w:rsidP="4DD99394">
      <w:pPr>
        <w:rPr>
          <w:lang w:val="en-US"/>
        </w:rPr>
      </w:pPr>
    </w:p>
    <w:p w14:paraId="51547106" w14:textId="056546AA" w:rsidR="4DD99394" w:rsidRDefault="00763F26" w:rsidP="4DD99394">
      <w:pPr>
        <w:rPr>
          <w:lang w:val="en-US"/>
        </w:rPr>
      </w:pPr>
      <w:proofErr w:type="spellStart"/>
      <w:r>
        <w:rPr>
          <w:lang w:val="en-US"/>
        </w:rPr>
        <w:t>Rahandusministeerium</w:t>
      </w:r>
      <w:proofErr w:type="spellEnd"/>
      <w:r>
        <w:rPr>
          <w:lang w:val="en-US"/>
        </w:rPr>
        <w:tab/>
      </w:r>
      <w:r>
        <w:rPr>
          <w:lang w:val="en-US"/>
        </w:rPr>
        <w:tab/>
      </w:r>
      <w:r>
        <w:rPr>
          <w:lang w:val="en-US"/>
        </w:rPr>
        <w:tab/>
      </w:r>
      <w:r>
        <w:rPr>
          <w:lang w:val="en-US"/>
        </w:rPr>
        <w:tab/>
      </w:r>
      <w:r>
        <w:rPr>
          <w:lang w:val="en-US"/>
        </w:rPr>
        <w:tab/>
        <w:t xml:space="preserve">30.05.2025 </w:t>
      </w:r>
      <w:r>
        <w:rPr>
          <w:rFonts w:ascii="Tahoma" w:hAnsi="Tahoma" w:cs="Tahoma"/>
          <w:color w:val="000000"/>
          <w:sz w:val="18"/>
          <w:szCs w:val="18"/>
          <w:shd w:val="clear" w:color="auto" w:fill="FFFFFF"/>
        </w:rPr>
        <w:t>KA-JUH-13/150</w:t>
      </w:r>
    </w:p>
    <w:p w14:paraId="5EF39C20" w14:textId="77777777" w:rsidR="00763F26" w:rsidRDefault="00763F26" w:rsidP="4DD99394">
      <w:pPr>
        <w:rPr>
          <w:lang w:val="en-US"/>
        </w:rPr>
      </w:pPr>
    </w:p>
    <w:p w14:paraId="65FF9BE7" w14:textId="77777777" w:rsidR="00763F26" w:rsidRDefault="00763F26" w:rsidP="4DD99394">
      <w:pPr>
        <w:rPr>
          <w:lang w:val="en-US"/>
        </w:rPr>
      </w:pPr>
    </w:p>
    <w:p w14:paraId="7B5F2209" w14:textId="77777777" w:rsidR="00763F26" w:rsidRDefault="00763F26" w:rsidP="4DD99394">
      <w:pPr>
        <w:rPr>
          <w:lang w:val="en-US"/>
        </w:rPr>
      </w:pPr>
    </w:p>
    <w:p w14:paraId="13B67639" w14:textId="77777777" w:rsidR="00763F26" w:rsidRPr="00EE3356" w:rsidRDefault="00763F26" w:rsidP="00763F26">
      <w:pPr>
        <w:rPr>
          <w:rFonts w:ascii="Arial" w:hAnsi="Arial" w:cs="Arial"/>
          <w:b/>
          <w:bCs/>
          <w:sz w:val="21"/>
          <w:szCs w:val="21"/>
        </w:rPr>
      </w:pPr>
      <w:r w:rsidRPr="00EE3356">
        <w:rPr>
          <w:rFonts w:ascii="Arial" w:hAnsi="Arial" w:cs="Arial"/>
          <w:b/>
          <w:bCs/>
          <w:sz w:val="21"/>
          <w:szCs w:val="21"/>
        </w:rPr>
        <w:t>Eesti Energia AS tagasiside RHS muutmisettepanekutele</w:t>
      </w:r>
    </w:p>
    <w:p w14:paraId="59E211B1" w14:textId="77777777" w:rsidR="00763F26" w:rsidRPr="00EE3356" w:rsidRDefault="00763F26" w:rsidP="00763F26">
      <w:pPr>
        <w:spacing w:line="240" w:lineRule="auto"/>
        <w:rPr>
          <w:rFonts w:ascii="Arial" w:hAnsi="Arial" w:cs="Arial"/>
          <w:sz w:val="21"/>
          <w:szCs w:val="21"/>
        </w:rPr>
      </w:pPr>
      <w:r w:rsidRPr="00EE3356">
        <w:rPr>
          <w:rFonts w:ascii="Arial" w:hAnsi="Arial" w:cs="Arial"/>
          <w:sz w:val="21"/>
          <w:szCs w:val="21"/>
        </w:rPr>
        <w:br/>
        <w:t>Lugupeetud Rahandusministeerium</w:t>
      </w:r>
    </w:p>
    <w:p w14:paraId="50CD9ADA" w14:textId="77777777" w:rsidR="00763F26" w:rsidRPr="00EE3356" w:rsidRDefault="00763F26" w:rsidP="00763F26">
      <w:pPr>
        <w:spacing w:line="240" w:lineRule="auto"/>
        <w:rPr>
          <w:rFonts w:ascii="Arial" w:hAnsi="Arial" w:cs="Arial"/>
          <w:sz w:val="21"/>
          <w:szCs w:val="21"/>
        </w:rPr>
      </w:pPr>
      <w:r w:rsidRPr="00EE3356">
        <w:rPr>
          <w:rFonts w:ascii="Arial" w:hAnsi="Arial" w:cs="Arial"/>
          <w:sz w:val="21"/>
          <w:szCs w:val="21"/>
        </w:rPr>
        <w:t xml:space="preserve">Täname kutse eest osaleda riigihangete seaduse muudatuste arutelus ning võimaluse eest anda sisendit juba varajases etapis. </w:t>
      </w:r>
      <w:r w:rsidRPr="00EE3356">
        <w:rPr>
          <w:rFonts w:ascii="Arial" w:hAnsi="Arial" w:cs="Arial"/>
          <w:b/>
          <w:bCs/>
          <w:sz w:val="21"/>
          <w:szCs w:val="21"/>
        </w:rPr>
        <w:t>Eesti Energia AS (EE)</w:t>
      </w:r>
      <w:r w:rsidRPr="00EE3356">
        <w:rPr>
          <w:rFonts w:ascii="Arial" w:hAnsi="Arial" w:cs="Arial"/>
          <w:sz w:val="21"/>
          <w:szCs w:val="21"/>
        </w:rPr>
        <w:t xml:space="preserve"> toetab riigihangete süsteemi lihtsustamist, mis aitab vähendada halduskoormust ja suurendada hangete paindlikkust, kuid rõhutame, et muudatused peavad säilitama läbipaistvuse, ausa konkurentsi ja kvaliteedi tagamise.</w:t>
      </w:r>
    </w:p>
    <w:p w14:paraId="7ABA7814" w14:textId="77777777" w:rsidR="00763F26" w:rsidRPr="00EE3356" w:rsidRDefault="00763F26" w:rsidP="00763F26">
      <w:pPr>
        <w:spacing w:line="240" w:lineRule="auto"/>
        <w:rPr>
          <w:rFonts w:ascii="Arial" w:hAnsi="Arial" w:cs="Arial"/>
          <w:sz w:val="21"/>
          <w:szCs w:val="21"/>
        </w:rPr>
      </w:pPr>
      <w:r w:rsidRPr="00EE3356">
        <w:rPr>
          <w:rFonts w:ascii="Arial" w:hAnsi="Arial" w:cs="Arial"/>
          <w:sz w:val="21"/>
          <w:szCs w:val="21"/>
        </w:rPr>
        <w:t>Alljärgnevalt esitame oma esialgse seisukoha olulisemate muudatusettepanekute kohta:</w:t>
      </w:r>
    </w:p>
    <w:p w14:paraId="5E9DA421" w14:textId="77777777" w:rsidR="00763F26" w:rsidRPr="00EE3356" w:rsidRDefault="00763F26" w:rsidP="00763F26">
      <w:pPr>
        <w:spacing w:line="240" w:lineRule="auto"/>
        <w:rPr>
          <w:rFonts w:ascii="Arial" w:hAnsi="Arial" w:cs="Arial"/>
          <w:b/>
          <w:bCs/>
          <w:sz w:val="21"/>
          <w:szCs w:val="21"/>
        </w:rPr>
      </w:pPr>
      <w:r w:rsidRPr="00EE3356">
        <w:rPr>
          <w:rFonts w:ascii="Arial" w:hAnsi="Arial" w:cs="Arial"/>
          <w:b/>
          <w:bCs/>
          <w:sz w:val="21"/>
          <w:szCs w:val="21"/>
        </w:rPr>
        <w:t>Toetus ettepanekule: Siseriiklike piirmäärade ühtlustamine ja lihthankemenetluse laiendamine</w:t>
      </w:r>
    </w:p>
    <w:p w14:paraId="60AE7268" w14:textId="77777777" w:rsidR="00763F26" w:rsidRPr="00EE3356" w:rsidRDefault="00763F26" w:rsidP="00763F26">
      <w:pPr>
        <w:spacing w:line="240" w:lineRule="auto"/>
        <w:rPr>
          <w:rFonts w:ascii="Arial" w:hAnsi="Arial" w:cs="Arial"/>
          <w:sz w:val="21"/>
          <w:szCs w:val="21"/>
        </w:rPr>
      </w:pPr>
      <w:r w:rsidRPr="00EE3356">
        <w:rPr>
          <w:rFonts w:ascii="Arial" w:hAnsi="Arial" w:cs="Arial"/>
          <w:b/>
          <w:bCs/>
          <w:sz w:val="21"/>
          <w:szCs w:val="21"/>
        </w:rPr>
        <w:t>Eesti Energia AS</w:t>
      </w:r>
      <w:r w:rsidRPr="00EE3356">
        <w:rPr>
          <w:rFonts w:ascii="Arial" w:hAnsi="Arial" w:cs="Arial"/>
          <w:sz w:val="21"/>
          <w:szCs w:val="21"/>
        </w:rPr>
        <w:t xml:space="preserve"> toetab Rahandusministeeriumi ettepanekut asendada senised kaks siseriiklikku piirmäära ühega ning kohaldada alla rahvusvahelise piirmäära hangetele lihthankemenetluse korda. Peame seda muudatust oluliseks sammuks riigihangete süsteemi ajakohastamisel ja halduskoormuse vähendamisel.</w:t>
      </w:r>
    </w:p>
    <w:p w14:paraId="1F67F99E" w14:textId="77777777" w:rsidR="00763F26" w:rsidRPr="00EE3356" w:rsidRDefault="00763F26" w:rsidP="00763F26">
      <w:pPr>
        <w:spacing w:line="240" w:lineRule="auto"/>
        <w:rPr>
          <w:rFonts w:ascii="Arial" w:hAnsi="Arial" w:cs="Arial"/>
          <w:b/>
          <w:bCs/>
          <w:sz w:val="21"/>
          <w:szCs w:val="21"/>
        </w:rPr>
      </w:pPr>
      <w:r w:rsidRPr="00EE3356">
        <w:rPr>
          <w:rFonts w:ascii="Arial" w:hAnsi="Arial" w:cs="Arial"/>
          <w:b/>
          <w:bCs/>
          <w:sz w:val="21"/>
          <w:szCs w:val="21"/>
        </w:rPr>
        <w:t>Toetuse põhjendused:</w:t>
      </w:r>
    </w:p>
    <w:p w14:paraId="72DFE335" w14:textId="77777777" w:rsidR="00763F26" w:rsidRPr="00EE3356" w:rsidRDefault="00763F26" w:rsidP="00763F26">
      <w:pPr>
        <w:spacing w:line="240" w:lineRule="auto"/>
        <w:rPr>
          <w:rFonts w:ascii="Arial" w:hAnsi="Arial" w:cs="Arial"/>
          <w:sz w:val="21"/>
          <w:szCs w:val="21"/>
        </w:rPr>
      </w:pPr>
      <w:r w:rsidRPr="00EE3356">
        <w:rPr>
          <w:rFonts w:ascii="Arial" w:hAnsi="Arial" w:cs="Arial"/>
          <w:sz w:val="21"/>
          <w:szCs w:val="21"/>
        </w:rPr>
        <w:t>•</w:t>
      </w:r>
      <w:r w:rsidRPr="00EE3356">
        <w:rPr>
          <w:rFonts w:ascii="Arial" w:hAnsi="Arial" w:cs="Arial"/>
          <w:sz w:val="21"/>
          <w:szCs w:val="21"/>
        </w:rPr>
        <w:tab/>
      </w:r>
      <w:r w:rsidRPr="00EE3356">
        <w:rPr>
          <w:rFonts w:ascii="Arial" w:hAnsi="Arial" w:cs="Arial"/>
          <w:b/>
          <w:bCs/>
          <w:sz w:val="21"/>
          <w:szCs w:val="21"/>
        </w:rPr>
        <w:t>Lihtsam ja selgem regulatsioon</w:t>
      </w:r>
      <w:r w:rsidRPr="00EE3356">
        <w:rPr>
          <w:rFonts w:ascii="Arial" w:hAnsi="Arial" w:cs="Arial"/>
          <w:sz w:val="21"/>
          <w:szCs w:val="21"/>
        </w:rPr>
        <w:t>: Ühe siseriikliku piirmäära kehtestamine muudab riigihangete süsteemi arusaadavamaks nii hankijatele kui ka pakkujatele. See aitab vältida tõlgendamisraskusi ja vähendab vigade tekkimise riski menetluses.</w:t>
      </w:r>
    </w:p>
    <w:p w14:paraId="121C6D08" w14:textId="77777777" w:rsidR="00763F26" w:rsidRPr="00EE3356" w:rsidRDefault="00763F26" w:rsidP="00763F26">
      <w:pPr>
        <w:spacing w:line="240" w:lineRule="auto"/>
        <w:rPr>
          <w:rFonts w:ascii="Arial" w:hAnsi="Arial" w:cs="Arial"/>
          <w:sz w:val="21"/>
          <w:szCs w:val="21"/>
        </w:rPr>
      </w:pPr>
      <w:r w:rsidRPr="00EE3356">
        <w:rPr>
          <w:rFonts w:ascii="Arial" w:hAnsi="Arial" w:cs="Arial"/>
          <w:sz w:val="21"/>
          <w:szCs w:val="21"/>
        </w:rPr>
        <w:t>•</w:t>
      </w:r>
      <w:r w:rsidRPr="00EE3356">
        <w:rPr>
          <w:rFonts w:ascii="Arial" w:hAnsi="Arial" w:cs="Arial"/>
          <w:sz w:val="21"/>
          <w:szCs w:val="21"/>
        </w:rPr>
        <w:tab/>
      </w:r>
      <w:r w:rsidRPr="00EE3356">
        <w:rPr>
          <w:rFonts w:ascii="Arial" w:hAnsi="Arial" w:cs="Arial"/>
          <w:b/>
          <w:bCs/>
          <w:sz w:val="21"/>
          <w:szCs w:val="21"/>
        </w:rPr>
        <w:t>Menetluste kiirenemine</w:t>
      </w:r>
      <w:r w:rsidRPr="00EE3356">
        <w:rPr>
          <w:rFonts w:ascii="Arial" w:hAnsi="Arial" w:cs="Arial"/>
          <w:sz w:val="21"/>
          <w:szCs w:val="21"/>
        </w:rPr>
        <w:t>: Lihthankemenetluse rakendamine suuremas mahus võimaldab lühendada hangete läbiviimise aega. See on eriti oluline sektorites, kus ajakriitilisus ja paindlikkus on võtmetähtsusega, näiteks energeetikas.</w:t>
      </w:r>
    </w:p>
    <w:p w14:paraId="678F7A49" w14:textId="77777777" w:rsidR="00763F26" w:rsidRPr="00EE3356" w:rsidRDefault="00763F26" w:rsidP="00763F26">
      <w:pPr>
        <w:spacing w:line="240" w:lineRule="auto"/>
        <w:rPr>
          <w:rFonts w:ascii="Arial" w:hAnsi="Arial" w:cs="Arial"/>
          <w:sz w:val="21"/>
          <w:szCs w:val="21"/>
        </w:rPr>
      </w:pPr>
      <w:r w:rsidRPr="00EE3356">
        <w:rPr>
          <w:rFonts w:ascii="Arial" w:hAnsi="Arial" w:cs="Arial"/>
          <w:sz w:val="21"/>
          <w:szCs w:val="21"/>
        </w:rPr>
        <w:t>•</w:t>
      </w:r>
      <w:r w:rsidRPr="00EE3356">
        <w:rPr>
          <w:rFonts w:ascii="Arial" w:hAnsi="Arial" w:cs="Arial"/>
          <w:sz w:val="21"/>
          <w:szCs w:val="21"/>
        </w:rPr>
        <w:tab/>
      </w:r>
      <w:r w:rsidRPr="00EE3356">
        <w:rPr>
          <w:rFonts w:ascii="Arial" w:hAnsi="Arial" w:cs="Arial"/>
          <w:b/>
          <w:bCs/>
          <w:sz w:val="21"/>
          <w:szCs w:val="21"/>
        </w:rPr>
        <w:t>Läbirääkimiste võimalus</w:t>
      </w:r>
      <w:r w:rsidRPr="00EE3356">
        <w:rPr>
          <w:rFonts w:ascii="Arial" w:hAnsi="Arial" w:cs="Arial"/>
          <w:sz w:val="21"/>
          <w:szCs w:val="21"/>
        </w:rPr>
        <w:t>: Lihthankemenetlus võimaldab vajadusel läbi rääkida pakkumuste tingimusi, mis aitab saavutada mõlema poole jaoks optimaalsemaid lahendusi ning vähendada hangete nurjumise riski.</w:t>
      </w:r>
    </w:p>
    <w:p w14:paraId="06532D12" w14:textId="77777777" w:rsidR="00763F26" w:rsidRPr="00EE3356" w:rsidRDefault="00763F26" w:rsidP="00763F26">
      <w:pPr>
        <w:spacing w:line="240" w:lineRule="auto"/>
        <w:rPr>
          <w:rFonts w:ascii="Arial" w:hAnsi="Arial" w:cs="Arial"/>
          <w:sz w:val="21"/>
          <w:szCs w:val="21"/>
        </w:rPr>
      </w:pPr>
      <w:r w:rsidRPr="00EE3356">
        <w:rPr>
          <w:rFonts w:ascii="Arial" w:hAnsi="Arial" w:cs="Arial"/>
          <w:sz w:val="21"/>
          <w:szCs w:val="21"/>
        </w:rPr>
        <w:t>•</w:t>
      </w:r>
      <w:r w:rsidRPr="00EE3356">
        <w:rPr>
          <w:rFonts w:ascii="Arial" w:hAnsi="Arial" w:cs="Arial"/>
          <w:sz w:val="21"/>
          <w:szCs w:val="21"/>
        </w:rPr>
        <w:tab/>
      </w:r>
      <w:r w:rsidRPr="00EE3356">
        <w:rPr>
          <w:rFonts w:ascii="Arial" w:hAnsi="Arial" w:cs="Arial"/>
          <w:b/>
          <w:bCs/>
          <w:sz w:val="21"/>
          <w:szCs w:val="21"/>
        </w:rPr>
        <w:t>Innovatsiooni soodustamine</w:t>
      </w:r>
      <w:r w:rsidRPr="00EE3356">
        <w:rPr>
          <w:rFonts w:ascii="Arial" w:hAnsi="Arial" w:cs="Arial"/>
          <w:sz w:val="21"/>
          <w:szCs w:val="21"/>
        </w:rPr>
        <w:t>: Paindlikumad menetlusreeglid loovad paremad võimalused uudsete ja innovaatiliste lahenduste hankimiseks, mis on kooskõlas Eesti Energia strateegilise suunaga rohepöörde ja digiarengu edendamisel.</w:t>
      </w:r>
    </w:p>
    <w:p w14:paraId="3FF4CA41" w14:textId="77777777" w:rsidR="00763F26" w:rsidRPr="00EE3356" w:rsidRDefault="00763F26" w:rsidP="00763F26">
      <w:pPr>
        <w:spacing w:line="240" w:lineRule="auto"/>
        <w:rPr>
          <w:rFonts w:ascii="Arial" w:hAnsi="Arial" w:cs="Arial"/>
          <w:sz w:val="21"/>
          <w:szCs w:val="21"/>
        </w:rPr>
      </w:pPr>
      <w:r w:rsidRPr="00EE3356">
        <w:rPr>
          <w:rFonts w:ascii="Arial" w:hAnsi="Arial" w:cs="Arial"/>
          <w:sz w:val="21"/>
          <w:szCs w:val="21"/>
        </w:rPr>
        <w:t>•</w:t>
      </w:r>
      <w:r w:rsidRPr="00EE3356">
        <w:rPr>
          <w:rFonts w:ascii="Arial" w:hAnsi="Arial" w:cs="Arial"/>
          <w:sz w:val="21"/>
          <w:szCs w:val="21"/>
        </w:rPr>
        <w:tab/>
      </w:r>
      <w:r w:rsidRPr="00EE3356">
        <w:rPr>
          <w:rFonts w:ascii="Arial" w:hAnsi="Arial" w:cs="Arial"/>
          <w:b/>
          <w:bCs/>
          <w:sz w:val="21"/>
          <w:szCs w:val="21"/>
        </w:rPr>
        <w:t>Rahvusvaheline eeskuju</w:t>
      </w:r>
      <w:r w:rsidRPr="00EE3356">
        <w:rPr>
          <w:rFonts w:ascii="Arial" w:hAnsi="Arial" w:cs="Arial"/>
          <w:sz w:val="21"/>
          <w:szCs w:val="21"/>
        </w:rPr>
        <w:t>: Võrdlusriikide (nt Soome, Rootsi, Portugal) praktika näitab, et lihtsustatud menetlused alla rahvusvahelise piirmäära on toimivad ja tõhusad.</w:t>
      </w:r>
    </w:p>
    <w:p w14:paraId="2CFFFABA" w14:textId="77777777" w:rsidR="00763F26" w:rsidRPr="00EE3356" w:rsidRDefault="00763F26" w:rsidP="00763F26">
      <w:pPr>
        <w:spacing w:line="240" w:lineRule="auto"/>
        <w:rPr>
          <w:rFonts w:ascii="Arial" w:hAnsi="Arial" w:cs="Arial"/>
          <w:sz w:val="21"/>
          <w:szCs w:val="21"/>
        </w:rPr>
      </w:pPr>
      <w:r w:rsidRPr="00EE3356">
        <w:rPr>
          <w:rFonts w:ascii="Arial" w:hAnsi="Arial" w:cs="Arial"/>
          <w:b/>
          <w:bCs/>
          <w:sz w:val="21"/>
          <w:szCs w:val="21"/>
        </w:rPr>
        <w:t>Riskide maandamine</w:t>
      </w:r>
      <w:r w:rsidRPr="00EE3356">
        <w:rPr>
          <w:rFonts w:ascii="Arial" w:hAnsi="Arial" w:cs="Arial"/>
          <w:sz w:val="21"/>
          <w:szCs w:val="21"/>
        </w:rPr>
        <w:t>:</w:t>
      </w:r>
    </w:p>
    <w:p w14:paraId="7342869C" w14:textId="77777777" w:rsidR="00763F26" w:rsidRPr="00EE3356" w:rsidRDefault="00763F26" w:rsidP="00763F26">
      <w:pPr>
        <w:spacing w:line="240" w:lineRule="auto"/>
        <w:rPr>
          <w:rFonts w:ascii="Arial" w:hAnsi="Arial" w:cs="Arial"/>
          <w:sz w:val="21"/>
          <w:szCs w:val="21"/>
        </w:rPr>
      </w:pPr>
      <w:r w:rsidRPr="00EE3356">
        <w:rPr>
          <w:rFonts w:ascii="Arial" w:hAnsi="Arial" w:cs="Arial"/>
          <w:sz w:val="21"/>
          <w:szCs w:val="21"/>
        </w:rPr>
        <w:t>Mõistame, et muudatusega võivad kaasneda teatud riskid, nagu läbipaistvuse vähenemine või õiguskaitse piirangud. Toetame nende riskide maandamist läbi:</w:t>
      </w:r>
    </w:p>
    <w:p w14:paraId="5A331518" w14:textId="77777777" w:rsidR="00763F26" w:rsidRPr="00EE3356" w:rsidRDefault="00763F26" w:rsidP="00763F26">
      <w:pPr>
        <w:spacing w:line="240" w:lineRule="auto"/>
        <w:rPr>
          <w:rFonts w:ascii="Arial" w:hAnsi="Arial" w:cs="Arial"/>
          <w:sz w:val="21"/>
          <w:szCs w:val="21"/>
        </w:rPr>
      </w:pPr>
      <w:r w:rsidRPr="00EE3356">
        <w:rPr>
          <w:rFonts w:ascii="Arial" w:hAnsi="Arial" w:cs="Arial"/>
          <w:sz w:val="21"/>
          <w:szCs w:val="21"/>
        </w:rPr>
        <w:t>•</w:t>
      </w:r>
      <w:r w:rsidRPr="00EE3356">
        <w:rPr>
          <w:rFonts w:ascii="Arial" w:hAnsi="Arial" w:cs="Arial"/>
          <w:sz w:val="21"/>
          <w:szCs w:val="21"/>
        </w:rPr>
        <w:tab/>
        <w:t>e-RHR-i arendamise, et tagada läbirääkimiste läbipaistvus;</w:t>
      </w:r>
    </w:p>
    <w:p w14:paraId="74BD0E76" w14:textId="77777777" w:rsidR="00763F26" w:rsidRPr="00EE3356" w:rsidRDefault="00763F26" w:rsidP="00763F26">
      <w:pPr>
        <w:spacing w:line="240" w:lineRule="auto"/>
        <w:rPr>
          <w:rFonts w:ascii="Arial" w:hAnsi="Arial" w:cs="Arial"/>
          <w:sz w:val="21"/>
          <w:szCs w:val="21"/>
        </w:rPr>
      </w:pPr>
      <w:r w:rsidRPr="00EE3356">
        <w:rPr>
          <w:rFonts w:ascii="Arial" w:hAnsi="Arial" w:cs="Arial"/>
          <w:sz w:val="21"/>
          <w:szCs w:val="21"/>
        </w:rPr>
        <w:t>•</w:t>
      </w:r>
      <w:r w:rsidRPr="00EE3356">
        <w:rPr>
          <w:rFonts w:ascii="Arial" w:hAnsi="Arial" w:cs="Arial"/>
          <w:sz w:val="21"/>
          <w:szCs w:val="21"/>
        </w:rPr>
        <w:tab/>
        <w:t>kaebetähtaegade mõistliku pikendamise;</w:t>
      </w:r>
    </w:p>
    <w:p w14:paraId="13E0AF6B" w14:textId="77777777" w:rsidR="00763F26" w:rsidRPr="00EE3356" w:rsidRDefault="00763F26" w:rsidP="00763F26">
      <w:pPr>
        <w:spacing w:line="240" w:lineRule="auto"/>
        <w:rPr>
          <w:rFonts w:ascii="Arial" w:hAnsi="Arial" w:cs="Arial"/>
          <w:sz w:val="21"/>
          <w:szCs w:val="21"/>
        </w:rPr>
      </w:pPr>
      <w:r w:rsidRPr="00EE3356">
        <w:rPr>
          <w:rFonts w:ascii="Arial" w:hAnsi="Arial" w:cs="Arial"/>
          <w:sz w:val="21"/>
          <w:szCs w:val="21"/>
        </w:rPr>
        <w:t>•</w:t>
      </w:r>
      <w:r w:rsidRPr="00EE3356">
        <w:rPr>
          <w:rFonts w:ascii="Arial" w:hAnsi="Arial" w:cs="Arial"/>
          <w:sz w:val="21"/>
          <w:szCs w:val="21"/>
        </w:rPr>
        <w:tab/>
        <w:t>selgete juhiste koostamise eeldatava maksumuse määramiseks.</w:t>
      </w:r>
    </w:p>
    <w:p w14:paraId="2DB65ABD" w14:textId="77777777" w:rsidR="00763F26" w:rsidRPr="00EE3356" w:rsidRDefault="00763F26" w:rsidP="00763F26">
      <w:pPr>
        <w:spacing w:line="240" w:lineRule="auto"/>
        <w:rPr>
          <w:rFonts w:ascii="Arial" w:hAnsi="Arial" w:cs="Arial"/>
          <w:sz w:val="21"/>
          <w:szCs w:val="21"/>
        </w:rPr>
      </w:pPr>
      <w:r w:rsidRPr="00EE3356">
        <w:rPr>
          <w:rFonts w:ascii="Arial" w:hAnsi="Arial" w:cs="Arial"/>
          <w:sz w:val="21"/>
          <w:szCs w:val="21"/>
        </w:rPr>
        <w:lastRenderedPageBreak/>
        <w:t>Kokkuvõttes usume, et see muudatus aitab kaasa riigihangete süsteemi uuendamisele, suurendab paindlikkust ja toetab avaliku sektori ning ettevõtjate koostööd tulemuslikumal viisil.</w:t>
      </w:r>
    </w:p>
    <w:p w14:paraId="3064EF29" w14:textId="10F6FAF2" w:rsidR="00763F26" w:rsidRDefault="00763F26" w:rsidP="00763F26">
      <w:pPr>
        <w:spacing w:line="240" w:lineRule="auto"/>
        <w:rPr>
          <w:rFonts w:ascii="Arial" w:hAnsi="Arial" w:cs="Arial"/>
          <w:b/>
          <w:bCs/>
          <w:sz w:val="21"/>
          <w:szCs w:val="21"/>
        </w:rPr>
      </w:pPr>
      <w:r w:rsidRPr="00EE3356">
        <w:rPr>
          <w:rFonts w:ascii="Arial" w:hAnsi="Arial" w:cs="Arial"/>
          <w:b/>
          <w:bCs/>
          <w:sz w:val="21"/>
          <w:szCs w:val="21"/>
        </w:rPr>
        <w:t>Lisaks oleme 6. mail 2025 edastanud Rahandusministeeriumile ettepaneku, mille kohaselt algaks võrgustikusektori hankijatele hankekohustus alates rahvusvahelisest piirmäärast. Palume antud ettepanek võtta arvesse järgmise seaduse muudatuse korral.</w:t>
      </w:r>
      <w:r>
        <w:rPr>
          <w:rFonts w:ascii="Arial" w:hAnsi="Arial" w:cs="Arial"/>
          <w:b/>
          <w:bCs/>
          <w:sz w:val="21"/>
          <w:szCs w:val="21"/>
        </w:rPr>
        <w:br/>
      </w:r>
      <w:r w:rsidRPr="00EE3356">
        <w:rPr>
          <w:rFonts w:ascii="Arial" w:hAnsi="Arial" w:cs="Arial"/>
          <w:sz w:val="21"/>
          <w:szCs w:val="21"/>
        </w:rPr>
        <w:t xml:space="preserve">Selle muudatuse eesmärk on suurendada paindlikkust ja vähendada halduskoormust, kus turuolukord, tehnilised eripärad ja ajakriitilised investeeringud nõuavad teistsugust lähenemist kui klassikalise sektori hankijatel. </w:t>
      </w:r>
      <w:r>
        <w:rPr>
          <w:rFonts w:ascii="Arial" w:hAnsi="Arial" w:cs="Arial"/>
          <w:sz w:val="21"/>
          <w:szCs w:val="21"/>
        </w:rPr>
        <w:t xml:space="preserve"> </w:t>
      </w:r>
      <w:r w:rsidRPr="00EE3356">
        <w:rPr>
          <w:rFonts w:ascii="Arial" w:hAnsi="Arial" w:cs="Arial"/>
          <w:sz w:val="21"/>
          <w:szCs w:val="21"/>
        </w:rPr>
        <w:t>Ettepanekul on laiapõhjaline toetus – seda toetavad kõik suuremad ning ka mitmed väiksemad võrgustikusektori hankijad.</w:t>
      </w:r>
      <w:r w:rsidRPr="00EE3356">
        <w:rPr>
          <w:rFonts w:ascii="Arial" w:hAnsi="Arial" w:cs="Arial"/>
          <w:sz w:val="21"/>
          <w:szCs w:val="21"/>
        </w:rPr>
        <w:br/>
      </w:r>
    </w:p>
    <w:p w14:paraId="2B37C572" w14:textId="77777777" w:rsidR="00763F26" w:rsidRPr="00EE3356" w:rsidRDefault="00763F26" w:rsidP="00763F26">
      <w:pPr>
        <w:spacing w:line="240" w:lineRule="auto"/>
        <w:rPr>
          <w:rFonts w:ascii="Arial" w:hAnsi="Arial" w:cs="Arial"/>
          <w:b/>
          <w:bCs/>
          <w:sz w:val="21"/>
          <w:szCs w:val="21"/>
        </w:rPr>
      </w:pPr>
      <w:r w:rsidRPr="00EE3356">
        <w:rPr>
          <w:rFonts w:ascii="Arial" w:hAnsi="Arial" w:cs="Arial"/>
          <w:b/>
          <w:bCs/>
          <w:sz w:val="21"/>
          <w:szCs w:val="21"/>
        </w:rPr>
        <w:t>Toetus ettepanekule: Vabatahtlike kõrvaldamisaluste kontrolli muutmine vabatahtlikuks</w:t>
      </w:r>
    </w:p>
    <w:p w14:paraId="159E802E" w14:textId="77777777" w:rsidR="00763F26" w:rsidRPr="00EE3356" w:rsidRDefault="00763F26" w:rsidP="00763F26">
      <w:pPr>
        <w:spacing w:line="240" w:lineRule="auto"/>
        <w:rPr>
          <w:rFonts w:ascii="Arial" w:hAnsi="Arial" w:cs="Arial"/>
          <w:sz w:val="21"/>
          <w:szCs w:val="21"/>
        </w:rPr>
      </w:pPr>
      <w:r w:rsidRPr="00EE3356">
        <w:rPr>
          <w:rFonts w:ascii="Arial" w:hAnsi="Arial" w:cs="Arial"/>
          <w:b/>
          <w:bCs/>
          <w:sz w:val="21"/>
          <w:szCs w:val="21"/>
        </w:rPr>
        <w:t>Eesti Energia AS</w:t>
      </w:r>
      <w:r w:rsidRPr="00EE3356">
        <w:rPr>
          <w:rFonts w:ascii="Arial" w:hAnsi="Arial" w:cs="Arial"/>
          <w:sz w:val="21"/>
          <w:szCs w:val="21"/>
        </w:rPr>
        <w:t xml:space="preserve"> toetab Rahandusministeeriumi ettepanekut võimaldada hankijatel ise otsustada, milliseid vabatahtlikke kõrvaldamise aluseid nad konkreetses hankes kontrollivad. Peame seda muudatust tasakaalustatud ja praktiliseks sammuks, mis suurendab hankemenetluste paindlikkust ning vähendab nii hankijate kui ka pakkujate halduskoormust.</w:t>
      </w:r>
    </w:p>
    <w:p w14:paraId="7CA82F69" w14:textId="77777777" w:rsidR="00763F26" w:rsidRPr="00EE3356" w:rsidRDefault="00763F26" w:rsidP="00763F26">
      <w:pPr>
        <w:spacing w:line="240" w:lineRule="auto"/>
        <w:rPr>
          <w:rFonts w:ascii="Arial" w:hAnsi="Arial" w:cs="Arial"/>
          <w:b/>
          <w:bCs/>
          <w:sz w:val="21"/>
          <w:szCs w:val="21"/>
        </w:rPr>
      </w:pPr>
      <w:r w:rsidRPr="00EE3356">
        <w:rPr>
          <w:rFonts w:ascii="Arial" w:hAnsi="Arial" w:cs="Arial"/>
          <w:b/>
          <w:bCs/>
          <w:sz w:val="21"/>
          <w:szCs w:val="21"/>
        </w:rPr>
        <w:t>Toetuse põhjendused:</w:t>
      </w:r>
    </w:p>
    <w:p w14:paraId="5B2FD304" w14:textId="77777777" w:rsidR="00763F26" w:rsidRPr="00EE3356" w:rsidRDefault="00763F26" w:rsidP="00763F26">
      <w:pPr>
        <w:spacing w:line="240" w:lineRule="auto"/>
        <w:rPr>
          <w:rFonts w:ascii="Arial" w:hAnsi="Arial" w:cs="Arial"/>
          <w:sz w:val="21"/>
          <w:szCs w:val="21"/>
        </w:rPr>
      </w:pPr>
      <w:r w:rsidRPr="00EE3356">
        <w:rPr>
          <w:rFonts w:ascii="Arial" w:hAnsi="Arial" w:cs="Arial"/>
          <w:sz w:val="21"/>
          <w:szCs w:val="21"/>
        </w:rPr>
        <w:t>•</w:t>
      </w:r>
      <w:r w:rsidRPr="00EE3356">
        <w:rPr>
          <w:rFonts w:ascii="Arial" w:hAnsi="Arial" w:cs="Arial"/>
          <w:sz w:val="21"/>
          <w:szCs w:val="21"/>
        </w:rPr>
        <w:tab/>
      </w:r>
      <w:r w:rsidRPr="00EE3356">
        <w:rPr>
          <w:rFonts w:ascii="Arial" w:hAnsi="Arial" w:cs="Arial"/>
          <w:b/>
          <w:bCs/>
          <w:sz w:val="21"/>
          <w:szCs w:val="21"/>
        </w:rPr>
        <w:t>Halduskoormuse vähenemine</w:t>
      </w:r>
      <w:r w:rsidRPr="00EE3356">
        <w:rPr>
          <w:rFonts w:ascii="Arial" w:hAnsi="Arial" w:cs="Arial"/>
          <w:sz w:val="21"/>
          <w:szCs w:val="21"/>
        </w:rPr>
        <w:t>: Praegune kohustus kaaluda kõiki vabatahtlikke kõrvaldamisaluseid igas hankes on ajamahukas ja sageli ebaproportsionaalne. Muudatus võimaldab keskenduda ainult nendele riskidele, mis on konkreetse hanke puhul sisuliselt olulised.</w:t>
      </w:r>
    </w:p>
    <w:p w14:paraId="54BF34AA" w14:textId="77777777" w:rsidR="00763F26" w:rsidRPr="00EE3356" w:rsidRDefault="00763F26" w:rsidP="00763F26">
      <w:pPr>
        <w:spacing w:line="240" w:lineRule="auto"/>
        <w:rPr>
          <w:rFonts w:ascii="Arial" w:hAnsi="Arial" w:cs="Arial"/>
          <w:sz w:val="21"/>
          <w:szCs w:val="21"/>
        </w:rPr>
      </w:pPr>
      <w:r w:rsidRPr="00EE3356">
        <w:rPr>
          <w:rFonts w:ascii="Arial" w:hAnsi="Arial" w:cs="Arial"/>
          <w:sz w:val="21"/>
          <w:szCs w:val="21"/>
        </w:rPr>
        <w:t>•</w:t>
      </w:r>
      <w:r w:rsidRPr="00EE3356">
        <w:rPr>
          <w:rFonts w:ascii="Arial" w:hAnsi="Arial" w:cs="Arial"/>
          <w:sz w:val="21"/>
          <w:szCs w:val="21"/>
        </w:rPr>
        <w:tab/>
      </w:r>
      <w:r w:rsidRPr="00EE3356">
        <w:rPr>
          <w:rFonts w:ascii="Arial" w:hAnsi="Arial" w:cs="Arial"/>
          <w:b/>
          <w:bCs/>
          <w:sz w:val="21"/>
          <w:szCs w:val="21"/>
        </w:rPr>
        <w:t>Paindlikkus ja sihipärasus</w:t>
      </w:r>
      <w:r w:rsidRPr="00EE3356">
        <w:rPr>
          <w:rFonts w:ascii="Arial" w:hAnsi="Arial" w:cs="Arial"/>
          <w:sz w:val="21"/>
          <w:szCs w:val="21"/>
        </w:rPr>
        <w:t>: Hankijad saavad paremini kohandada kõrvaldamisaluste kontrolli vastavalt hanke iseloomule ja riskitasemele. See aitab vältida liigset formaalsust ja toetab tõhusamat hankemenetlust.</w:t>
      </w:r>
    </w:p>
    <w:p w14:paraId="46545365" w14:textId="77777777" w:rsidR="00763F26" w:rsidRPr="00EE3356" w:rsidRDefault="00763F26" w:rsidP="00763F26">
      <w:pPr>
        <w:spacing w:line="240" w:lineRule="auto"/>
        <w:rPr>
          <w:rFonts w:ascii="Arial" w:hAnsi="Arial" w:cs="Arial"/>
          <w:sz w:val="21"/>
          <w:szCs w:val="21"/>
        </w:rPr>
      </w:pPr>
      <w:r w:rsidRPr="00EE3356">
        <w:rPr>
          <w:rFonts w:ascii="Arial" w:hAnsi="Arial" w:cs="Arial"/>
          <w:sz w:val="21"/>
          <w:szCs w:val="21"/>
        </w:rPr>
        <w:t>•</w:t>
      </w:r>
      <w:r w:rsidRPr="00EE3356">
        <w:rPr>
          <w:rFonts w:ascii="Arial" w:hAnsi="Arial" w:cs="Arial"/>
          <w:sz w:val="21"/>
          <w:szCs w:val="21"/>
        </w:rPr>
        <w:tab/>
      </w:r>
      <w:r w:rsidRPr="00EE3356">
        <w:rPr>
          <w:rFonts w:ascii="Arial" w:hAnsi="Arial" w:cs="Arial"/>
          <w:b/>
          <w:bCs/>
          <w:sz w:val="21"/>
          <w:szCs w:val="21"/>
        </w:rPr>
        <w:t>Pakkujate koormuse vähenemine</w:t>
      </w:r>
      <w:r w:rsidRPr="00EE3356">
        <w:rPr>
          <w:rFonts w:ascii="Arial" w:hAnsi="Arial" w:cs="Arial"/>
          <w:sz w:val="21"/>
          <w:szCs w:val="21"/>
        </w:rPr>
        <w:t>: Ettevõtjad ei pea esitama tõendeid ega selgitusi kõrvaldamisaluste kohta, mida hankija ei ole ette näinud. See muudab osalemise lihtsamaks ja soodustab laiemat konkurentsi.</w:t>
      </w:r>
    </w:p>
    <w:p w14:paraId="2C102A47" w14:textId="77777777" w:rsidR="00763F26" w:rsidRPr="00EE3356" w:rsidRDefault="00763F26" w:rsidP="00763F26">
      <w:pPr>
        <w:spacing w:line="240" w:lineRule="auto"/>
        <w:rPr>
          <w:rFonts w:ascii="Arial" w:hAnsi="Arial" w:cs="Arial"/>
          <w:sz w:val="21"/>
          <w:szCs w:val="21"/>
        </w:rPr>
      </w:pPr>
      <w:r w:rsidRPr="00EE3356">
        <w:rPr>
          <w:rFonts w:ascii="Arial" w:hAnsi="Arial" w:cs="Arial"/>
          <w:sz w:val="21"/>
          <w:szCs w:val="21"/>
        </w:rPr>
        <w:t>•</w:t>
      </w:r>
      <w:r w:rsidRPr="00EE3356">
        <w:rPr>
          <w:rFonts w:ascii="Arial" w:hAnsi="Arial" w:cs="Arial"/>
          <w:sz w:val="21"/>
          <w:szCs w:val="21"/>
        </w:rPr>
        <w:tab/>
      </w:r>
      <w:r w:rsidRPr="00EE3356">
        <w:rPr>
          <w:rFonts w:ascii="Arial" w:hAnsi="Arial" w:cs="Arial"/>
          <w:b/>
          <w:bCs/>
          <w:sz w:val="21"/>
          <w:szCs w:val="21"/>
        </w:rPr>
        <w:t>Menetluse kiirenemine</w:t>
      </w:r>
      <w:r w:rsidRPr="00EE3356">
        <w:rPr>
          <w:rFonts w:ascii="Arial" w:hAnsi="Arial" w:cs="Arial"/>
          <w:sz w:val="21"/>
          <w:szCs w:val="21"/>
        </w:rPr>
        <w:t>: Tõendite ja selgituste esitamise vajaduse vähenemine aitab lühendada hankemenetluse kestust, mis on oluline nii avaliku sektori kui ka erasektori jaoks.</w:t>
      </w:r>
    </w:p>
    <w:p w14:paraId="03329E71" w14:textId="77777777" w:rsidR="00763F26" w:rsidRPr="00EE3356" w:rsidRDefault="00763F26" w:rsidP="00763F26">
      <w:pPr>
        <w:spacing w:line="240" w:lineRule="auto"/>
        <w:rPr>
          <w:rFonts w:ascii="Arial" w:hAnsi="Arial" w:cs="Arial"/>
          <w:sz w:val="21"/>
          <w:szCs w:val="21"/>
        </w:rPr>
      </w:pPr>
      <w:r w:rsidRPr="00EE3356">
        <w:rPr>
          <w:rFonts w:ascii="Arial" w:hAnsi="Arial" w:cs="Arial"/>
          <w:sz w:val="21"/>
          <w:szCs w:val="21"/>
        </w:rPr>
        <w:t>•</w:t>
      </w:r>
      <w:r w:rsidRPr="00EE3356">
        <w:rPr>
          <w:rFonts w:ascii="Arial" w:hAnsi="Arial" w:cs="Arial"/>
          <w:sz w:val="21"/>
          <w:szCs w:val="21"/>
        </w:rPr>
        <w:tab/>
      </w:r>
      <w:r w:rsidRPr="00EE3356">
        <w:rPr>
          <w:rFonts w:ascii="Arial" w:hAnsi="Arial" w:cs="Arial"/>
          <w:b/>
          <w:bCs/>
          <w:sz w:val="21"/>
          <w:szCs w:val="21"/>
        </w:rPr>
        <w:t>Rahvusvaheline praktika</w:t>
      </w:r>
      <w:r w:rsidRPr="00EE3356">
        <w:rPr>
          <w:rFonts w:ascii="Arial" w:hAnsi="Arial" w:cs="Arial"/>
          <w:sz w:val="21"/>
          <w:szCs w:val="21"/>
        </w:rPr>
        <w:t>: Meile teadaolevalt esineb Euroopa Liidu liikmesriikides nii kehtivat kui ka kavandatavat lahendust. See näitab, et muudatus on kooskõlas EL õiguse ja praktikaga.</w:t>
      </w:r>
    </w:p>
    <w:p w14:paraId="47F514D1" w14:textId="77777777" w:rsidR="00763F26" w:rsidRPr="00EE3356" w:rsidRDefault="00763F26" w:rsidP="00763F26">
      <w:pPr>
        <w:spacing w:line="240" w:lineRule="auto"/>
        <w:rPr>
          <w:rFonts w:ascii="Arial" w:hAnsi="Arial" w:cs="Arial"/>
          <w:sz w:val="21"/>
          <w:szCs w:val="21"/>
        </w:rPr>
      </w:pPr>
      <w:r w:rsidRPr="00EE3356">
        <w:rPr>
          <w:rFonts w:ascii="Arial" w:hAnsi="Arial" w:cs="Arial"/>
          <w:sz w:val="21"/>
          <w:szCs w:val="21"/>
        </w:rPr>
        <w:t>•</w:t>
      </w:r>
      <w:r w:rsidRPr="00EE3356">
        <w:rPr>
          <w:rFonts w:ascii="Arial" w:hAnsi="Arial" w:cs="Arial"/>
          <w:sz w:val="21"/>
          <w:szCs w:val="21"/>
        </w:rPr>
        <w:tab/>
      </w:r>
      <w:r w:rsidRPr="00EE3356">
        <w:rPr>
          <w:rFonts w:ascii="Arial" w:hAnsi="Arial" w:cs="Arial"/>
          <w:b/>
          <w:bCs/>
          <w:sz w:val="21"/>
          <w:szCs w:val="21"/>
        </w:rPr>
        <w:t>Hankijate toetus</w:t>
      </w:r>
      <w:r w:rsidRPr="00EE3356">
        <w:rPr>
          <w:rFonts w:ascii="Arial" w:hAnsi="Arial" w:cs="Arial"/>
          <w:sz w:val="21"/>
          <w:szCs w:val="21"/>
        </w:rPr>
        <w:t>: Märgime, et lisaks Eesti Energiale on ka teised suuremad hankijad – Eesti Raudtee, Riigi Tugiteenuste Keskus, Riigi Kinnisvara AS ja Riigi Kaitseinvesteeringute Keskus – avaldanud toetust sellele ettepanekule. Ühiselt on rõhutatud, et kõikides menetlustes ei ole otstarbekas kasutada kõiki vabatahtlikke kõrvaldamisaluseid ning muudatus võimaldab teha arukamaid ja sisulisemaid valikuid.</w:t>
      </w:r>
    </w:p>
    <w:p w14:paraId="202C5F83" w14:textId="77777777" w:rsidR="00763F26" w:rsidRPr="00EE3356" w:rsidRDefault="00763F26" w:rsidP="00763F26">
      <w:pPr>
        <w:spacing w:line="240" w:lineRule="auto"/>
        <w:rPr>
          <w:rFonts w:ascii="Arial" w:hAnsi="Arial" w:cs="Arial"/>
          <w:b/>
          <w:bCs/>
          <w:sz w:val="21"/>
          <w:szCs w:val="21"/>
        </w:rPr>
      </w:pPr>
      <w:r w:rsidRPr="00EE3356">
        <w:rPr>
          <w:rFonts w:ascii="Arial" w:hAnsi="Arial" w:cs="Arial"/>
          <w:b/>
          <w:bCs/>
          <w:sz w:val="21"/>
          <w:szCs w:val="21"/>
        </w:rPr>
        <w:t>Riskide maandamine:</w:t>
      </w:r>
    </w:p>
    <w:p w14:paraId="6158D6F1" w14:textId="77777777" w:rsidR="00763F26" w:rsidRPr="00EE3356" w:rsidRDefault="00763F26" w:rsidP="00763F26">
      <w:pPr>
        <w:spacing w:line="240" w:lineRule="auto"/>
        <w:rPr>
          <w:rFonts w:ascii="Arial" w:hAnsi="Arial" w:cs="Arial"/>
          <w:sz w:val="21"/>
          <w:szCs w:val="21"/>
        </w:rPr>
      </w:pPr>
      <w:r w:rsidRPr="00EE3356">
        <w:rPr>
          <w:rFonts w:ascii="Arial" w:hAnsi="Arial" w:cs="Arial"/>
          <w:sz w:val="21"/>
          <w:szCs w:val="21"/>
        </w:rPr>
        <w:t>Mõistame, et ettevõtjate esindajad, nagu Kaubandus- ja Tööstuskoda, on väljendanud muret võimaliku konkurentsieelise pärast ebaausatele pakkujatele. Leiame, et seda riski saab maandada järgmiselt:</w:t>
      </w:r>
    </w:p>
    <w:p w14:paraId="283AB7CA" w14:textId="77777777" w:rsidR="00763F26" w:rsidRPr="00EE3356" w:rsidRDefault="00763F26" w:rsidP="00763F26">
      <w:pPr>
        <w:spacing w:line="240" w:lineRule="auto"/>
        <w:rPr>
          <w:rFonts w:ascii="Arial" w:hAnsi="Arial" w:cs="Arial"/>
          <w:sz w:val="21"/>
          <w:szCs w:val="21"/>
        </w:rPr>
      </w:pPr>
      <w:r w:rsidRPr="00EE3356">
        <w:rPr>
          <w:rFonts w:ascii="Arial" w:hAnsi="Arial" w:cs="Arial"/>
          <w:sz w:val="21"/>
          <w:szCs w:val="21"/>
        </w:rPr>
        <w:t>•</w:t>
      </w:r>
      <w:r w:rsidRPr="00EE3356">
        <w:rPr>
          <w:rFonts w:ascii="Arial" w:hAnsi="Arial" w:cs="Arial"/>
          <w:sz w:val="21"/>
          <w:szCs w:val="21"/>
        </w:rPr>
        <w:tab/>
        <w:t>Hankijatele tuleb tagada selged juhised kõrvaldamisaluste valiku põhjendamiseks ja dokumenteerimiseks;</w:t>
      </w:r>
    </w:p>
    <w:p w14:paraId="6FA98ADC" w14:textId="77777777" w:rsidR="00763F26" w:rsidRPr="00EE3356" w:rsidRDefault="00763F26" w:rsidP="00763F26">
      <w:pPr>
        <w:spacing w:line="240" w:lineRule="auto"/>
        <w:rPr>
          <w:rFonts w:ascii="Arial" w:hAnsi="Arial" w:cs="Arial"/>
          <w:sz w:val="21"/>
          <w:szCs w:val="21"/>
        </w:rPr>
      </w:pPr>
      <w:r w:rsidRPr="00EE3356">
        <w:rPr>
          <w:rFonts w:ascii="Arial" w:hAnsi="Arial" w:cs="Arial"/>
          <w:sz w:val="21"/>
          <w:szCs w:val="21"/>
        </w:rPr>
        <w:t>•</w:t>
      </w:r>
      <w:r w:rsidRPr="00EE3356">
        <w:rPr>
          <w:rFonts w:ascii="Arial" w:hAnsi="Arial" w:cs="Arial"/>
          <w:sz w:val="21"/>
          <w:szCs w:val="21"/>
        </w:rPr>
        <w:tab/>
        <w:t>Tuleks säilitada võimalus kontrollida kõrvaldamisaluseid ka juhul, kui neid pole eelnevalt ette nähtud, kui ilmnevad uued asjaolud;</w:t>
      </w:r>
    </w:p>
    <w:p w14:paraId="564108E4" w14:textId="77777777" w:rsidR="00763F26" w:rsidRPr="00EE3356" w:rsidRDefault="00763F26" w:rsidP="00763F26">
      <w:pPr>
        <w:spacing w:line="240" w:lineRule="auto"/>
        <w:rPr>
          <w:rFonts w:ascii="Arial" w:hAnsi="Arial" w:cs="Arial"/>
          <w:sz w:val="21"/>
          <w:szCs w:val="21"/>
        </w:rPr>
      </w:pPr>
      <w:r w:rsidRPr="00EE3356">
        <w:rPr>
          <w:rFonts w:ascii="Arial" w:hAnsi="Arial" w:cs="Arial"/>
          <w:sz w:val="21"/>
          <w:szCs w:val="21"/>
        </w:rPr>
        <w:t>•</w:t>
      </w:r>
      <w:r w:rsidRPr="00EE3356">
        <w:rPr>
          <w:rFonts w:ascii="Arial" w:hAnsi="Arial" w:cs="Arial"/>
          <w:sz w:val="21"/>
          <w:szCs w:val="21"/>
        </w:rPr>
        <w:tab/>
        <w:t>Järelevalve ja läbipaistvuse mehhanismid tuleb kohandada uue paindlikkuse tasemega.</w:t>
      </w:r>
    </w:p>
    <w:p w14:paraId="3F5695DF" w14:textId="2FC0C29E" w:rsidR="00763F26" w:rsidRPr="00763F26" w:rsidRDefault="00763F26" w:rsidP="00763F26">
      <w:pPr>
        <w:spacing w:line="240" w:lineRule="auto"/>
        <w:rPr>
          <w:rFonts w:ascii="Arial" w:hAnsi="Arial" w:cs="Arial"/>
          <w:sz w:val="21"/>
          <w:szCs w:val="21"/>
        </w:rPr>
      </w:pPr>
      <w:r w:rsidRPr="00EE3356">
        <w:rPr>
          <w:rFonts w:ascii="Arial" w:hAnsi="Arial" w:cs="Arial"/>
          <w:sz w:val="21"/>
          <w:szCs w:val="21"/>
        </w:rPr>
        <w:lastRenderedPageBreak/>
        <w:t>Kokkuvõttes usume, et see muudatus aitab kaasa riigihangete süsteemi tõhustamisele, säilitades samas olulised väärtused nagu aus konkurents ja läbipaistvus.</w:t>
      </w:r>
    </w:p>
    <w:p w14:paraId="77C069F8" w14:textId="77777777" w:rsidR="00763F26" w:rsidRDefault="00763F26" w:rsidP="00763F26">
      <w:pPr>
        <w:spacing w:line="240" w:lineRule="auto"/>
        <w:rPr>
          <w:rFonts w:ascii="Arial" w:hAnsi="Arial" w:cs="Arial"/>
          <w:b/>
          <w:bCs/>
          <w:sz w:val="21"/>
          <w:szCs w:val="21"/>
        </w:rPr>
      </w:pPr>
    </w:p>
    <w:p w14:paraId="2BAE46C1" w14:textId="77777777" w:rsidR="00763F26" w:rsidRPr="00EE3356" w:rsidRDefault="00763F26" w:rsidP="00763F26">
      <w:pPr>
        <w:spacing w:line="240" w:lineRule="auto"/>
        <w:rPr>
          <w:rFonts w:ascii="Arial" w:hAnsi="Arial" w:cs="Arial"/>
          <w:b/>
          <w:bCs/>
          <w:sz w:val="21"/>
          <w:szCs w:val="21"/>
        </w:rPr>
      </w:pPr>
      <w:r w:rsidRPr="00EE3356">
        <w:rPr>
          <w:rFonts w:ascii="Arial" w:hAnsi="Arial" w:cs="Arial"/>
          <w:b/>
          <w:bCs/>
          <w:sz w:val="21"/>
          <w:szCs w:val="21"/>
        </w:rPr>
        <w:t>Toetus ettepanekule: Põhjendamatult madala maksumusega pakkumuste kontrolli vabatahtlikuks muutmine alla rahvusvahelise piirmäära</w:t>
      </w:r>
    </w:p>
    <w:p w14:paraId="57DD3719" w14:textId="77777777" w:rsidR="00763F26" w:rsidRPr="00EE3356" w:rsidRDefault="00763F26" w:rsidP="00763F26">
      <w:pPr>
        <w:spacing w:line="240" w:lineRule="auto"/>
        <w:rPr>
          <w:rFonts w:ascii="Arial" w:hAnsi="Arial" w:cs="Arial"/>
          <w:sz w:val="21"/>
          <w:szCs w:val="21"/>
        </w:rPr>
      </w:pPr>
      <w:r w:rsidRPr="00EE3356">
        <w:rPr>
          <w:rFonts w:ascii="Arial" w:hAnsi="Arial" w:cs="Arial"/>
          <w:b/>
          <w:bCs/>
          <w:sz w:val="21"/>
          <w:szCs w:val="21"/>
        </w:rPr>
        <w:t>Eesti Energia AS</w:t>
      </w:r>
      <w:r w:rsidRPr="00EE3356">
        <w:rPr>
          <w:rFonts w:ascii="Arial" w:hAnsi="Arial" w:cs="Arial"/>
          <w:sz w:val="21"/>
          <w:szCs w:val="21"/>
        </w:rPr>
        <w:t xml:space="preserve"> toetab Rahandusministeeriumi ettepanekut muuta põhjendamatult madala maksumusega pakkumuste kontroll vabatahtlikuks alla rahvusvahelise piirmäära jäävates hangetes. Leiame, et see muudatus aitab kaasa hankemenetluste tõhustamisele ja halduskoormuse vähendamisele, säilitades samas hankijate kaalutlusõiguse riskide juhtimiseks.</w:t>
      </w:r>
    </w:p>
    <w:p w14:paraId="5C97A3E1" w14:textId="77777777" w:rsidR="00763F26" w:rsidRPr="00EE3356" w:rsidRDefault="00763F26" w:rsidP="00763F26">
      <w:pPr>
        <w:spacing w:line="240" w:lineRule="auto"/>
        <w:rPr>
          <w:rFonts w:ascii="Arial" w:hAnsi="Arial" w:cs="Arial"/>
          <w:b/>
          <w:bCs/>
          <w:sz w:val="21"/>
          <w:szCs w:val="21"/>
        </w:rPr>
      </w:pPr>
      <w:r w:rsidRPr="00EE3356">
        <w:rPr>
          <w:rFonts w:ascii="Arial" w:hAnsi="Arial" w:cs="Arial"/>
          <w:b/>
          <w:bCs/>
          <w:sz w:val="21"/>
          <w:szCs w:val="21"/>
        </w:rPr>
        <w:t>Toetuse põhjendused:</w:t>
      </w:r>
    </w:p>
    <w:p w14:paraId="4076DADC" w14:textId="77777777" w:rsidR="00763F26" w:rsidRPr="00EE3356" w:rsidRDefault="00763F26" w:rsidP="00763F26">
      <w:pPr>
        <w:spacing w:line="240" w:lineRule="auto"/>
        <w:rPr>
          <w:rFonts w:ascii="Arial" w:hAnsi="Arial" w:cs="Arial"/>
          <w:sz w:val="21"/>
          <w:szCs w:val="21"/>
        </w:rPr>
      </w:pPr>
      <w:r w:rsidRPr="00EE3356">
        <w:rPr>
          <w:rFonts w:ascii="Arial" w:hAnsi="Arial" w:cs="Arial"/>
          <w:sz w:val="21"/>
          <w:szCs w:val="21"/>
        </w:rPr>
        <w:t>•</w:t>
      </w:r>
      <w:r w:rsidRPr="00EE3356">
        <w:rPr>
          <w:rFonts w:ascii="Arial" w:hAnsi="Arial" w:cs="Arial"/>
          <w:sz w:val="21"/>
          <w:szCs w:val="21"/>
        </w:rPr>
        <w:tab/>
      </w:r>
      <w:r w:rsidRPr="00EE3356">
        <w:rPr>
          <w:rFonts w:ascii="Arial" w:hAnsi="Arial" w:cs="Arial"/>
          <w:b/>
          <w:bCs/>
          <w:sz w:val="21"/>
          <w:szCs w:val="21"/>
        </w:rPr>
        <w:t>Halduskoormuse vähenemine</w:t>
      </w:r>
      <w:r w:rsidRPr="00EE3356">
        <w:rPr>
          <w:rFonts w:ascii="Arial" w:hAnsi="Arial" w:cs="Arial"/>
          <w:sz w:val="21"/>
          <w:szCs w:val="21"/>
        </w:rPr>
        <w:t>: Kehtiv kohustus kontrollida kõiki madala maksumusega pakkumusi on ajamahukas ja sageli formaalne. Muudatus võimaldab hankijatel keskenduda juhtudele, kus kahtlus on sisuliselt põhjendatud.</w:t>
      </w:r>
    </w:p>
    <w:p w14:paraId="2AB707E2" w14:textId="77777777" w:rsidR="00763F26" w:rsidRPr="00EE3356" w:rsidRDefault="00763F26" w:rsidP="00763F26">
      <w:pPr>
        <w:spacing w:line="240" w:lineRule="auto"/>
        <w:rPr>
          <w:rFonts w:ascii="Arial" w:hAnsi="Arial" w:cs="Arial"/>
          <w:sz w:val="21"/>
          <w:szCs w:val="21"/>
        </w:rPr>
      </w:pPr>
      <w:r w:rsidRPr="00EE3356">
        <w:rPr>
          <w:rFonts w:ascii="Arial" w:hAnsi="Arial" w:cs="Arial"/>
          <w:sz w:val="21"/>
          <w:szCs w:val="21"/>
        </w:rPr>
        <w:t>•</w:t>
      </w:r>
      <w:r w:rsidRPr="00EE3356">
        <w:rPr>
          <w:rFonts w:ascii="Arial" w:hAnsi="Arial" w:cs="Arial"/>
          <w:sz w:val="21"/>
          <w:szCs w:val="21"/>
        </w:rPr>
        <w:tab/>
      </w:r>
      <w:r w:rsidRPr="00EE3356">
        <w:rPr>
          <w:rFonts w:ascii="Arial" w:hAnsi="Arial" w:cs="Arial"/>
          <w:b/>
          <w:bCs/>
          <w:sz w:val="21"/>
          <w:szCs w:val="21"/>
        </w:rPr>
        <w:t>Menetluse kiirenemine</w:t>
      </w:r>
      <w:r w:rsidRPr="00EE3356">
        <w:rPr>
          <w:rFonts w:ascii="Arial" w:hAnsi="Arial" w:cs="Arial"/>
          <w:sz w:val="21"/>
          <w:szCs w:val="21"/>
        </w:rPr>
        <w:t>: Kontrollimenetluse vabatahtlikuks muutmine aitab lühendada hankemenetluse kestust, mis on oluline ajakriitilistes projektides ja suurendab hangete paindlikkust.</w:t>
      </w:r>
    </w:p>
    <w:p w14:paraId="4AB63A66" w14:textId="77777777" w:rsidR="00763F26" w:rsidRPr="00EE3356" w:rsidRDefault="00763F26" w:rsidP="00763F26">
      <w:pPr>
        <w:spacing w:line="240" w:lineRule="auto"/>
        <w:rPr>
          <w:rFonts w:ascii="Arial" w:hAnsi="Arial" w:cs="Arial"/>
          <w:sz w:val="21"/>
          <w:szCs w:val="21"/>
        </w:rPr>
      </w:pPr>
      <w:r w:rsidRPr="00EE3356">
        <w:rPr>
          <w:rFonts w:ascii="Arial" w:hAnsi="Arial" w:cs="Arial"/>
          <w:sz w:val="21"/>
          <w:szCs w:val="21"/>
        </w:rPr>
        <w:t>•</w:t>
      </w:r>
      <w:r w:rsidRPr="00EE3356">
        <w:rPr>
          <w:rFonts w:ascii="Arial" w:hAnsi="Arial" w:cs="Arial"/>
          <w:sz w:val="21"/>
          <w:szCs w:val="21"/>
        </w:rPr>
        <w:tab/>
      </w:r>
      <w:r w:rsidRPr="00EE3356">
        <w:rPr>
          <w:rFonts w:ascii="Arial" w:hAnsi="Arial" w:cs="Arial"/>
          <w:b/>
          <w:bCs/>
          <w:sz w:val="21"/>
          <w:szCs w:val="21"/>
        </w:rPr>
        <w:t>Vaidluste vähenemine</w:t>
      </w:r>
      <w:r w:rsidRPr="00EE3356">
        <w:rPr>
          <w:rFonts w:ascii="Arial" w:hAnsi="Arial" w:cs="Arial"/>
          <w:sz w:val="21"/>
          <w:szCs w:val="21"/>
        </w:rPr>
        <w:t>: Kehtiv regulatsioon on olnud vaidluste allikaks, kus edukus sõltub sageli formaalsetest aspektidest, mitte sisulisest hinnangust. Muudatus aitab vähendada vaidluste hulka ja parandada õiguskindlust.</w:t>
      </w:r>
    </w:p>
    <w:p w14:paraId="4BEB37F7" w14:textId="77777777" w:rsidR="00763F26" w:rsidRPr="00EE3356" w:rsidRDefault="00763F26" w:rsidP="00763F26">
      <w:pPr>
        <w:spacing w:line="240" w:lineRule="auto"/>
        <w:rPr>
          <w:rFonts w:ascii="Arial" w:hAnsi="Arial" w:cs="Arial"/>
          <w:sz w:val="21"/>
          <w:szCs w:val="21"/>
        </w:rPr>
      </w:pPr>
      <w:r w:rsidRPr="00EE3356">
        <w:rPr>
          <w:rFonts w:ascii="Arial" w:hAnsi="Arial" w:cs="Arial"/>
          <w:sz w:val="21"/>
          <w:szCs w:val="21"/>
        </w:rPr>
        <w:t>•</w:t>
      </w:r>
      <w:r w:rsidRPr="00EE3356">
        <w:rPr>
          <w:rFonts w:ascii="Arial" w:hAnsi="Arial" w:cs="Arial"/>
          <w:sz w:val="21"/>
          <w:szCs w:val="21"/>
        </w:rPr>
        <w:tab/>
      </w:r>
      <w:r w:rsidRPr="00EE3356">
        <w:rPr>
          <w:rFonts w:ascii="Arial" w:hAnsi="Arial" w:cs="Arial"/>
          <w:b/>
          <w:bCs/>
          <w:sz w:val="21"/>
          <w:szCs w:val="21"/>
        </w:rPr>
        <w:t>Praktiline rakendatavus</w:t>
      </w:r>
      <w:r w:rsidRPr="00EE3356">
        <w:rPr>
          <w:rFonts w:ascii="Arial" w:hAnsi="Arial" w:cs="Arial"/>
          <w:sz w:val="21"/>
          <w:szCs w:val="21"/>
        </w:rPr>
        <w:t>: Nagu analüüsis märgitud, on hankijal sageli keeruline hinnata, kas pakkumus on põhjendamatult madal, eriti kui puudub valdkondlik ekspertiis. Samuti võimaldab RHS ristsubsideerimist, mis muudab kontrolli veelgi keerukamaks ja vähem tõhusaks.</w:t>
      </w:r>
    </w:p>
    <w:p w14:paraId="19CEE190" w14:textId="77777777" w:rsidR="00763F26" w:rsidRPr="00EE3356" w:rsidRDefault="00763F26" w:rsidP="00763F26">
      <w:pPr>
        <w:spacing w:line="240" w:lineRule="auto"/>
        <w:rPr>
          <w:rFonts w:ascii="Arial" w:hAnsi="Arial" w:cs="Arial"/>
          <w:sz w:val="21"/>
          <w:szCs w:val="21"/>
        </w:rPr>
      </w:pPr>
      <w:r w:rsidRPr="00EE3356">
        <w:rPr>
          <w:rFonts w:ascii="Arial" w:hAnsi="Arial" w:cs="Arial"/>
          <w:sz w:val="21"/>
          <w:szCs w:val="21"/>
        </w:rPr>
        <w:t>•</w:t>
      </w:r>
      <w:r w:rsidRPr="00EE3356">
        <w:rPr>
          <w:rFonts w:ascii="Arial" w:hAnsi="Arial" w:cs="Arial"/>
          <w:sz w:val="21"/>
          <w:szCs w:val="21"/>
        </w:rPr>
        <w:tab/>
      </w:r>
      <w:r w:rsidRPr="00EE3356">
        <w:rPr>
          <w:rFonts w:ascii="Arial" w:hAnsi="Arial" w:cs="Arial"/>
          <w:b/>
          <w:bCs/>
          <w:sz w:val="21"/>
          <w:szCs w:val="21"/>
        </w:rPr>
        <w:t>Rahvusvaheline eeskuju</w:t>
      </w:r>
      <w:r w:rsidRPr="00EE3356">
        <w:rPr>
          <w:rFonts w:ascii="Arial" w:hAnsi="Arial" w:cs="Arial"/>
          <w:sz w:val="21"/>
          <w:szCs w:val="21"/>
        </w:rPr>
        <w:t>: Liikmesriikides, nagu Soome ja Portugal, on sarnane lähenemine juba kasutusel. See näitab, et muudatus on kooskõlas EL-i praktikaga ja aitab kaasa ühtlustatud ning praktilisele lähenemisele.</w:t>
      </w:r>
    </w:p>
    <w:p w14:paraId="30B01B31" w14:textId="77777777" w:rsidR="00763F26" w:rsidRPr="00EE3356" w:rsidRDefault="00763F26" w:rsidP="00763F26">
      <w:pPr>
        <w:spacing w:line="240" w:lineRule="auto"/>
        <w:rPr>
          <w:rFonts w:ascii="Arial" w:hAnsi="Arial" w:cs="Arial"/>
          <w:b/>
          <w:bCs/>
          <w:sz w:val="21"/>
          <w:szCs w:val="21"/>
        </w:rPr>
      </w:pPr>
      <w:r w:rsidRPr="00EE3356">
        <w:rPr>
          <w:rFonts w:ascii="Arial" w:hAnsi="Arial" w:cs="Arial"/>
          <w:b/>
          <w:bCs/>
          <w:sz w:val="21"/>
          <w:szCs w:val="21"/>
        </w:rPr>
        <w:t>Riskide maandamine:</w:t>
      </w:r>
    </w:p>
    <w:p w14:paraId="6F100462" w14:textId="77777777" w:rsidR="00763F26" w:rsidRPr="00EE3356" w:rsidRDefault="00763F26" w:rsidP="00763F26">
      <w:pPr>
        <w:spacing w:line="240" w:lineRule="auto"/>
        <w:rPr>
          <w:rFonts w:ascii="Arial" w:hAnsi="Arial" w:cs="Arial"/>
          <w:sz w:val="21"/>
          <w:szCs w:val="21"/>
        </w:rPr>
      </w:pPr>
      <w:r w:rsidRPr="00EE3356">
        <w:rPr>
          <w:rFonts w:ascii="Arial" w:hAnsi="Arial" w:cs="Arial"/>
          <w:sz w:val="21"/>
          <w:szCs w:val="21"/>
        </w:rPr>
        <w:t>Mõistame, et muudatus võib suurendada riski, et mõni hankeleping ei ole jätkusuutlik. Selle maandamiseks soovitame:</w:t>
      </w:r>
    </w:p>
    <w:p w14:paraId="54851EC8" w14:textId="77777777" w:rsidR="00763F26" w:rsidRPr="00EE3356" w:rsidRDefault="00763F26" w:rsidP="00763F26">
      <w:pPr>
        <w:spacing w:line="240" w:lineRule="auto"/>
        <w:rPr>
          <w:rFonts w:ascii="Arial" w:hAnsi="Arial" w:cs="Arial"/>
          <w:sz w:val="21"/>
          <w:szCs w:val="21"/>
        </w:rPr>
      </w:pPr>
      <w:r w:rsidRPr="00EE3356">
        <w:rPr>
          <w:rFonts w:ascii="Arial" w:hAnsi="Arial" w:cs="Arial"/>
          <w:sz w:val="21"/>
          <w:szCs w:val="21"/>
        </w:rPr>
        <w:t>•</w:t>
      </w:r>
      <w:r w:rsidRPr="00EE3356">
        <w:rPr>
          <w:rFonts w:ascii="Arial" w:hAnsi="Arial" w:cs="Arial"/>
          <w:sz w:val="21"/>
          <w:szCs w:val="21"/>
        </w:rPr>
        <w:tab/>
        <w:t>Hankijatele koostada juhendmaterjalid, millal ja kuidas hinnata pakkumuse maksumuse põhjendatust;</w:t>
      </w:r>
    </w:p>
    <w:p w14:paraId="11FAD02D" w14:textId="77777777" w:rsidR="00763F26" w:rsidRPr="00EE3356" w:rsidRDefault="00763F26" w:rsidP="00763F26">
      <w:pPr>
        <w:spacing w:line="240" w:lineRule="auto"/>
        <w:rPr>
          <w:rFonts w:ascii="Arial" w:hAnsi="Arial" w:cs="Arial"/>
          <w:sz w:val="21"/>
          <w:szCs w:val="21"/>
        </w:rPr>
      </w:pPr>
      <w:r w:rsidRPr="00EE3356">
        <w:rPr>
          <w:rFonts w:ascii="Arial" w:hAnsi="Arial" w:cs="Arial"/>
          <w:sz w:val="21"/>
          <w:szCs w:val="21"/>
        </w:rPr>
        <w:t>•</w:t>
      </w:r>
      <w:r w:rsidRPr="00EE3356">
        <w:rPr>
          <w:rFonts w:ascii="Arial" w:hAnsi="Arial" w:cs="Arial"/>
          <w:sz w:val="21"/>
          <w:szCs w:val="21"/>
        </w:rPr>
        <w:tab/>
        <w:t>Võimaldada hankijatel siiski alati kontrolli algatada, kui tekib kahtlus pakkumuse jätkusuutlikkuses;</w:t>
      </w:r>
    </w:p>
    <w:p w14:paraId="5E1108F1" w14:textId="77777777" w:rsidR="00763F26" w:rsidRPr="00EE3356" w:rsidRDefault="00763F26" w:rsidP="00763F26">
      <w:pPr>
        <w:spacing w:line="240" w:lineRule="auto"/>
        <w:rPr>
          <w:rFonts w:ascii="Arial" w:hAnsi="Arial" w:cs="Arial"/>
          <w:sz w:val="21"/>
          <w:szCs w:val="21"/>
        </w:rPr>
      </w:pPr>
      <w:r w:rsidRPr="00EE3356">
        <w:rPr>
          <w:rFonts w:ascii="Arial" w:hAnsi="Arial" w:cs="Arial"/>
          <w:sz w:val="21"/>
          <w:szCs w:val="21"/>
        </w:rPr>
        <w:t>•</w:t>
      </w:r>
      <w:r w:rsidRPr="00EE3356">
        <w:rPr>
          <w:rFonts w:ascii="Arial" w:hAnsi="Arial" w:cs="Arial"/>
          <w:sz w:val="21"/>
          <w:szCs w:val="21"/>
        </w:rPr>
        <w:tab/>
        <w:t>Julgustada hankijaid sätestama hankedokumentides selgelt, millal nad madalat maksumust kontrollivad.</w:t>
      </w:r>
    </w:p>
    <w:p w14:paraId="4E90E10A" w14:textId="77777777" w:rsidR="00763F26" w:rsidRPr="00EE3356" w:rsidRDefault="00763F26" w:rsidP="00763F26">
      <w:pPr>
        <w:spacing w:line="240" w:lineRule="auto"/>
        <w:rPr>
          <w:rFonts w:ascii="Arial" w:hAnsi="Arial" w:cs="Arial"/>
          <w:sz w:val="21"/>
          <w:szCs w:val="21"/>
        </w:rPr>
      </w:pPr>
      <w:r w:rsidRPr="00EE3356">
        <w:rPr>
          <w:rFonts w:ascii="Arial" w:hAnsi="Arial" w:cs="Arial"/>
          <w:sz w:val="21"/>
          <w:szCs w:val="21"/>
        </w:rPr>
        <w:t>Kokkuvõttes usume, et muudatus suurendab hankemenetluste paindlikkust ja tõhusust, võimaldades samas hankijatel teha sisuliselt kaalutletud otsuseid vastavalt konkreetse hanke riskiprofiilile.</w:t>
      </w:r>
    </w:p>
    <w:p w14:paraId="7AF4C4DA" w14:textId="77777777" w:rsidR="00763F26" w:rsidRDefault="00763F26" w:rsidP="00763F26">
      <w:pPr>
        <w:spacing w:line="240" w:lineRule="auto"/>
        <w:rPr>
          <w:rFonts w:ascii="Arial" w:hAnsi="Arial" w:cs="Arial"/>
          <w:b/>
          <w:bCs/>
          <w:sz w:val="21"/>
          <w:szCs w:val="21"/>
        </w:rPr>
      </w:pPr>
    </w:p>
    <w:p w14:paraId="1B30CD44" w14:textId="77777777" w:rsidR="00763F26" w:rsidRPr="00EE3356" w:rsidRDefault="00763F26" w:rsidP="00763F26">
      <w:pPr>
        <w:spacing w:line="240" w:lineRule="auto"/>
        <w:rPr>
          <w:rFonts w:ascii="Arial" w:hAnsi="Arial" w:cs="Arial"/>
          <w:sz w:val="21"/>
          <w:szCs w:val="21"/>
        </w:rPr>
      </w:pPr>
      <w:r w:rsidRPr="00EE3356">
        <w:rPr>
          <w:rFonts w:ascii="Arial" w:hAnsi="Arial" w:cs="Arial"/>
          <w:b/>
          <w:bCs/>
          <w:sz w:val="21"/>
          <w:szCs w:val="21"/>
        </w:rPr>
        <w:t>Toetus ettepanekule: Pakkumuste vastavuse kontrollimine ainult majanduslikult soodsaima puhul maksumuse alusel hindamisel</w:t>
      </w:r>
    </w:p>
    <w:p w14:paraId="3A3F7D19" w14:textId="77777777" w:rsidR="00763F26" w:rsidRPr="00EE3356" w:rsidRDefault="00763F26" w:rsidP="00763F26">
      <w:pPr>
        <w:spacing w:line="240" w:lineRule="auto"/>
        <w:rPr>
          <w:rFonts w:ascii="Arial" w:hAnsi="Arial" w:cs="Arial"/>
          <w:sz w:val="21"/>
          <w:szCs w:val="21"/>
        </w:rPr>
      </w:pPr>
      <w:r w:rsidRPr="00EE3356">
        <w:rPr>
          <w:rFonts w:ascii="Arial" w:hAnsi="Arial" w:cs="Arial"/>
          <w:b/>
          <w:bCs/>
          <w:sz w:val="21"/>
          <w:szCs w:val="21"/>
        </w:rPr>
        <w:t>Eesti Energia AS</w:t>
      </w:r>
      <w:r w:rsidRPr="00EE3356">
        <w:rPr>
          <w:rFonts w:ascii="Arial" w:hAnsi="Arial" w:cs="Arial"/>
          <w:sz w:val="21"/>
          <w:szCs w:val="21"/>
        </w:rPr>
        <w:t xml:space="preserve"> toetab Rahandusministeeriumi ettepanekut võimaldada hankijal kontrollida vaid majanduslikult soodsaima pakkumuse vastavust juhtudel, kui pakkumusi hinnatakse üksnes maksumuse alusel. Peame seda muudatust praktiliseks ja ajakohaseks sammuks, mis aitab suurendada hankemenetluste tõhusust ja paindlikkust.</w:t>
      </w:r>
    </w:p>
    <w:p w14:paraId="30AF084B" w14:textId="77777777" w:rsidR="00763F26" w:rsidRPr="00EE3356" w:rsidRDefault="00763F26" w:rsidP="00763F26">
      <w:pPr>
        <w:spacing w:line="240" w:lineRule="auto"/>
        <w:rPr>
          <w:rFonts w:ascii="Arial" w:hAnsi="Arial" w:cs="Arial"/>
          <w:b/>
          <w:bCs/>
          <w:sz w:val="21"/>
          <w:szCs w:val="21"/>
        </w:rPr>
      </w:pPr>
      <w:r w:rsidRPr="00EE3356">
        <w:rPr>
          <w:rFonts w:ascii="Arial" w:hAnsi="Arial" w:cs="Arial"/>
          <w:b/>
          <w:bCs/>
          <w:sz w:val="21"/>
          <w:szCs w:val="21"/>
        </w:rPr>
        <w:lastRenderedPageBreak/>
        <w:t>Toetuse põhjendused:</w:t>
      </w:r>
    </w:p>
    <w:p w14:paraId="45DDE16A" w14:textId="77777777" w:rsidR="00763F26" w:rsidRPr="00EE3356" w:rsidRDefault="00763F26" w:rsidP="00763F26">
      <w:pPr>
        <w:spacing w:line="240" w:lineRule="auto"/>
        <w:rPr>
          <w:rFonts w:ascii="Arial" w:hAnsi="Arial" w:cs="Arial"/>
          <w:sz w:val="21"/>
          <w:szCs w:val="21"/>
        </w:rPr>
      </w:pPr>
      <w:r w:rsidRPr="00EE3356">
        <w:rPr>
          <w:rFonts w:ascii="Arial" w:hAnsi="Arial" w:cs="Arial"/>
          <w:sz w:val="21"/>
          <w:szCs w:val="21"/>
        </w:rPr>
        <w:t>•</w:t>
      </w:r>
      <w:r w:rsidRPr="00EE3356">
        <w:rPr>
          <w:rFonts w:ascii="Arial" w:hAnsi="Arial" w:cs="Arial"/>
          <w:sz w:val="21"/>
          <w:szCs w:val="21"/>
        </w:rPr>
        <w:tab/>
      </w:r>
      <w:r w:rsidRPr="00EE3356">
        <w:rPr>
          <w:rFonts w:ascii="Arial" w:hAnsi="Arial" w:cs="Arial"/>
          <w:b/>
          <w:bCs/>
          <w:sz w:val="21"/>
          <w:szCs w:val="21"/>
        </w:rPr>
        <w:t>Töökoormuse vähenemine</w:t>
      </w:r>
      <w:r w:rsidRPr="00EE3356">
        <w:rPr>
          <w:rFonts w:ascii="Arial" w:hAnsi="Arial" w:cs="Arial"/>
          <w:sz w:val="21"/>
          <w:szCs w:val="21"/>
        </w:rPr>
        <w:t>: Muudatus vähendab oluliselt hankijate töömahtu, kuna ei ole vaja kontrollida kõigi kvalifitseeritud pakkujate pakkumuste vastavust, vaid ainult parima pakkumuse oma. See on eriti oluline suurte hangete puhul, kus pakkumusi võib olla kümneid.</w:t>
      </w:r>
    </w:p>
    <w:p w14:paraId="6C1D73E0" w14:textId="77777777" w:rsidR="00763F26" w:rsidRPr="00EE3356" w:rsidRDefault="00763F26" w:rsidP="00763F26">
      <w:pPr>
        <w:spacing w:line="240" w:lineRule="auto"/>
        <w:rPr>
          <w:rFonts w:ascii="Arial" w:hAnsi="Arial" w:cs="Arial"/>
          <w:sz w:val="21"/>
          <w:szCs w:val="21"/>
        </w:rPr>
      </w:pPr>
      <w:r w:rsidRPr="00EE3356">
        <w:rPr>
          <w:rFonts w:ascii="Arial" w:hAnsi="Arial" w:cs="Arial"/>
          <w:sz w:val="21"/>
          <w:szCs w:val="21"/>
        </w:rPr>
        <w:t>•</w:t>
      </w:r>
      <w:r w:rsidRPr="00EE3356">
        <w:rPr>
          <w:rFonts w:ascii="Arial" w:hAnsi="Arial" w:cs="Arial"/>
          <w:sz w:val="21"/>
          <w:szCs w:val="21"/>
        </w:rPr>
        <w:tab/>
      </w:r>
      <w:r w:rsidRPr="00EE3356">
        <w:rPr>
          <w:rFonts w:ascii="Arial" w:hAnsi="Arial" w:cs="Arial"/>
          <w:b/>
          <w:bCs/>
          <w:sz w:val="21"/>
          <w:szCs w:val="21"/>
        </w:rPr>
        <w:t>Menetluse kiirenemine</w:t>
      </w:r>
      <w:r w:rsidRPr="00EE3356">
        <w:rPr>
          <w:rFonts w:ascii="Arial" w:hAnsi="Arial" w:cs="Arial"/>
          <w:sz w:val="21"/>
          <w:szCs w:val="21"/>
        </w:rPr>
        <w:t>: Vähem kontrollitavaid pakkumusi tähendab kiiremat hindamisprotsessi ja lühemat menetlusaega, mis on oluline ajakriitiliste projektide puhul.</w:t>
      </w:r>
    </w:p>
    <w:p w14:paraId="40F34672" w14:textId="77777777" w:rsidR="00763F26" w:rsidRPr="00EE3356" w:rsidRDefault="00763F26" w:rsidP="00763F26">
      <w:pPr>
        <w:spacing w:line="240" w:lineRule="auto"/>
        <w:rPr>
          <w:rFonts w:ascii="Arial" w:hAnsi="Arial" w:cs="Arial"/>
          <w:sz w:val="21"/>
          <w:szCs w:val="21"/>
        </w:rPr>
      </w:pPr>
      <w:r w:rsidRPr="00EE3356">
        <w:rPr>
          <w:rFonts w:ascii="Arial" w:hAnsi="Arial" w:cs="Arial"/>
          <w:sz w:val="21"/>
          <w:szCs w:val="21"/>
        </w:rPr>
        <w:t>•</w:t>
      </w:r>
      <w:r w:rsidRPr="00EE3356">
        <w:rPr>
          <w:rFonts w:ascii="Arial" w:hAnsi="Arial" w:cs="Arial"/>
          <w:sz w:val="21"/>
          <w:szCs w:val="21"/>
        </w:rPr>
        <w:tab/>
      </w:r>
      <w:r w:rsidRPr="00EE3356">
        <w:rPr>
          <w:rFonts w:ascii="Arial" w:hAnsi="Arial" w:cs="Arial"/>
          <w:b/>
          <w:bCs/>
          <w:sz w:val="21"/>
          <w:szCs w:val="21"/>
        </w:rPr>
        <w:t>Pakkujate halduskoormuse vähenemine</w:t>
      </w:r>
      <w:r w:rsidRPr="00EE3356">
        <w:rPr>
          <w:rFonts w:ascii="Arial" w:hAnsi="Arial" w:cs="Arial"/>
          <w:sz w:val="21"/>
          <w:szCs w:val="21"/>
        </w:rPr>
        <w:t>: Ettevõtjad ei pea esitama täiendavaid dokumente ega vastama päringutele, kui nende pakkumus ei osutu majanduslikult soodsaimaks. See muudab osalemise hangetes lihtsamaks ja soodustab laiemat konkurentsi.</w:t>
      </w:r>
    </w:p>
    <w:p w14:paraId="4FE256CF" w14:textId="77777777" w:rsidR="00763F26" w:rsidRPr="00EE3356" w:rsidRDefault="00763F26" w:rsidP="00763F26">
      <w:pPr>
        <w:spacing w:line="240" w:lineRule="auto"/>
        <w:rPr>
          <w:rFonts w:ascii="Arial" w:hAnsi="Arial" w:cs="Arial"/>
          <w:sz w:val="21"/>
          <w:szCs w:val="21"/>
        </w:rPr>
      </w:pPr>
      <w:r w:rsidRPr="00EE3356">
        <w:rPr>
          <w:rFonts w:ascii="Arial" w:hAnsi="Arial" w:cs="Arial"/>
          <w:sz w:val="21"/>
          <w:szCs w:val="21"/>
        </w:rPr>
        <w:t>•</w:t>
      </w:r>
      <w:r w:rsidRPr="00EE3356">
        <w:rPr>
          <w:rFonts w:ascii="Arial" w:hAnsi="Arial" w:cs="Arial"/>
          <w:sz w:val="21"/>
          <w:szCs w:val="21"/>
        </w:rPr>
        <w:tab/>
      </w:r>
      <w:r w:rsidRPr="00EE3356">
        <w:rPr>
          <w:rFonts w:ascii="Arial" w:hAnsi="Arial" w:cs="Arial"/>
          <w:b/>
          <w:bCs/>
          <w:sz w:val="21"/>
          <w:szCs w:val="21"/>
        </w:rPr>
        <w:t>Rahvusvaheline eeskuju</w:t>
      </w:r>
      <w:r w:rsidRPr="00EE3356">
        <w:rPr>
          <w:rFonts w:ascii="Arial" w:hAnsi="Arial" w:cs="Arial"/>
          <w:sz w:val="21"/>
          <w:szCs w:val="21"/>
        </w:rPr>
        <w:t>: Nagu viidatud, ei ole Soomes ja Rootsis kohustust kontrollida kõikide pakkumuste vastavust – hankijale on jäetud kaalutlusõigus. See näitab, et muudatus on kooskõlas EL-i praktikaga ja aitab kaasa ühtlustatud ning praktilisele lähenemisele.</w:t>
      </w:r>
    </w:p>
    <w:p w14:paraId="39292368" w14:textId="77777777" w:rsidR="00763F26" w:rsidRPr="00EE3356" w:rsidRDefault="00763F26" w:rsidP="00763F26">
      <w:pPr>
        <w:spacing w:line="240" w:lineRule="auto"/>
        <w:rPr>
          <w:rFonts w:ascii="Arial" w:hAnsi="Arial" w:cs="Arial"/>
          <w:sz w:val="21"/>
          <w:szCs w:val="21"/>
        </w:rPr>
      </w:pPr>
      <w:r w:rsidRPr="00EE3356">
        <w:rPr>
          <w:rFonts w:ascii="Arial" w:hAnsi="Arial" w:cs="Arial"/>
          <w:sz w:val="21"/>
          <w:szCs w:val="21"/>
        </w:rPr>
        <w:t>•</w:t>
      </w:r>
      <w:r w:rsidRPr="00EE3356">
        <w:rPr>
          <w:rFonts w:ascii="Arial" w:hAnsi="Arial" w:cs="Arial"/>
          <w:sz w:val="21"/>
          <w:szCs w:val="21"/>
        </w:rPr>
        <w:tab/>
      </w:r>
      <w:r w:rsidRPr="00EE3356">
        <w:rPr>
          <w:rFonts w:ascii="Arial" w:hAnsi="Arial" w:cs="Arial"/>
          <w:b/>
          <w:bCs/>
          <w:sz w:val="21"/>
          <w:szCs w:val="21"/>
        </w:rPr>
        <w:t>Hankijate toetus</w:t>
      </w:r>
      <w:r w:rsidRPr="00EE3356">
        <w:rPr>
          <w:rFonts w:ascii="Arial" w:hAnsi="Arial" w:cs="Arial"/>
          <w:sz w:val="21"/>
          <w:szCs w:val="21"/>
        </w:rPr>
        <w:t>: TGS Balticu analüüsis toetas valdav osa hankijaid seda ettepanekut, märkides, et see on rakendatav eelkõige hindamiskriteeriumina ainult maksumust kasutavates hangetes.</w:t>
      </w:r>
    </w:p>
    <w:p w14:paraId="7A402F4F" w14:textId="77777777" w:rsidR="00763F26" w:rsidRPr="00EE3356" w:rsidRDefault="00763F26" w:rsidP="00763F26">
      <w:pPr>
        <w:spacing w:line="240" w:lineRule="auto"/>
        <w:rPr>
          <w:rFonts w:ascii="Arial" w:hAnsi="Arial" w:cs="Arial"/>
          <w:b/>
          <w:bCs/>
          <w:sz w:val="21"/>
          <w:szCs w:val="21"/>
        </w:rPr>
      </w:pPr>
      <w:r w:rsidRPr="00EE3356">
        <w:rPr>
          <w:rFonts w:ascii="Arial" w:hAnsi="Arial" w:cs="Arial"/>
          <w:b/>
          <w:bCs/>
          <w:sz w:val="21"/>
          <w:szCs w:val="21"/>
        </w:rPr>
        <w:t>Riskide maandamine:</w:t>
      </w:r>
    </w:p>
    <w:p w14:paraId="0B63E46F" w14:textId="77777777" w:rsidR="00763F26" w:rsidRPr="00EE3356" w:rsidRDefault="00763F26" w:rsidP="00763F26">
      <w:pPr>
        <w:spacing w:line="240" w:lineRule="auto"/>
        <w:rPr>
          <w:rFonts w:ascii="Arial" w:hAnsi="Arial" w:cs="Arial"/>
          <w:sz w:val="21"/>
          <w:szCs w:val="21"/>
        </w:rPr>
      </w:pPr>
      <w:r w:rsidRPr="00EE3356">
        <w:rPr>
          <w:rFonts w:ascii="Arial" w:hAnsi="Arial" w:cs="Arial"/>
          <w:sz w:val="21"/>
          <w:szCs w:val="21"/>
        </w:rPr>
        <w:t>Mõistame, et muudatus võib vähendada õiguskaitse võimalusi ja suurendada riski, et edukas pakkumus osutub hiljem mittevastavaks. Selle maandamiseks soovitame:</w:t>
      </w:r>
    </w:p>
    <w:p w14:paraId="123F3E2F" w14:textId="77777777" w:rsidR="00763F26" w:rsidRPr="00EE3356" w:rsidRDefault="00763F26" w:rsidP="00763F26">
      <w:pPr>
        <w:spacing w:line="240" w:lineRule="auto"/>
        <w:rPr>
          <w:rFonts w:ascii="Arial" w:hAnsi="Arial" w:cs="Arial"/>
          <w:sz w:val="21"/>
          <w:szCs w:val="21"/>
        </w:rPr>
      </w:pPr>
      <w:r w:rsidRPr="00EE3356">
        <w:rPr>
          <w:rFonts w:ascii="Arial" w:hAnsi="Arial" w:cs="Arial"/>
          <w:sz w:val="21"/>
          <w:szCs w:val="21"/>
        </w:rPr>
        <w:t>•</w:t>
      </w:r>
      <w:r w:rsidRPr="00EE3356">
        <w:rPr>
          <w:rFonts w:ascii="Arial" w:hAnsi="Arial" w:cs="Arial"/>
          <w:sz w:val="21"/>
          <w:szCs w:val="21"/>
        </w:rPr>
        <w:tab/>
        <w:t>Hankijatele selged juhised, millal ja kuidas vastavuskontrolli teostada;</w:t>
      </w:r>
    </w:p>
    <w:p w14:paraId="1F414BF8" w14:textId="77777777" w:rsidR="00763F26" w:rsidRPr="00EE3356" w:rsidRDefault="00763F26" w:rsidP="00763F26">
      <w:pPr>
        <w:spacing w:line="240" w:lineRule="auto"/>
        <w:rPr>
          <w:rFonts w:ascii="Arial" w:hAnsi="Arial" w:cs="Arial"/>
          <w:sz w:val="21"/>
          <w:szCs w:val="21"/>
        </w:rPr>
      </w:pPr>
      <w:r w:rsidRPr="00EE3356">
        <w:rPr>
          <w:rFonts w:ascii="Arial" w:hAnsi="Arial" w:cs="Arial"/>
          <w:sz w:val="21"/>
          <w:szCs w:val="21"/>
        </w:rPr>
        <w:t>•</w:t>
      </w:r>
      <w:r w:rsidRPr="00EE3356">
        <w:rPr>
          <w:rFonts w:ascii="Arial" w:hAnsi="Arial" w:cs="Arial"/>
          <w:sz w:val="21"/>
          <w:szCs w:val="21"/>
        </w:rPr>
        <w:tab/>
        <w:t>Võimalus vajadusel laiendada kontrolli ka teistele pakkumustele, kui tekib kahtlus;</w:t>
      </w:r>
    </w:p>
    <w:p w14:paraId="270C3A18" w14:textId="77777777" w:rsidR="00763F26" w:rsidRPr="00EE3356" w:rsidRDefault="00763F26" w:rsidP="00763F26">
      <w:pPr>
        <w:spacing w:line="240" w:lineRule="auto"/>
        <w:rPr>
          <w:rFonts w:ascii="Arial" w:hAnsi="Arial" w:cs="Arial"/>
          <w:sz w:val="21"/>
          <w:szCs w:val="21"/>
        </w:rPr>
      </w:pPr>
      <w:r w:rsidRPr="00EE3356">
        <w:rPr>
          <w:rFonts w:ascii="Arial" w:hAnsi="Arial" w:cs="Arial"/>
          <w:sz w:val="21"/>
          <w:szCs w:val="21"/>
        </w:rPr>
        <w:t>•</w:t>
      </w:r>
      <w:r w:rsidRPr="00EE3356">
        <w:rPr>
          <w:rFonts w:ascii="Arial" w:hAnsi="Arial" w:cs="Arial"/>
          <w:sz w:val="21"/>
          <w:szCs w:val="21"/>
        </w:rPr>
        <w:tab/>
        <w:t>Selge kommunikatsioon hankedokumentides, et pakkujad teaksid, millal ja kuidas nende pakkumusi kontrollitakse.</w:t>
      </w:r>
    </w:p>
    <w:p w14:paraId="1B1D6BC2" w14:textId="77777777" w:rsidR="00763F26" w:rsidRPr="00EE3356" w:rsidRDefault="00763F26" w:rsidP="00763F26">
      <w:pPr>
        <w:spacing w:line="240" w:lineRule="auto"/>
        <w:rPr>
          <w:rFonts w:ascii="Arial" w:hAnsi="Arial" w:cs="Arial"/>
          <w:sz w:val="21"/>
          <w:szCs w:val="21"/>
        </w:rPr>
      </w:pPr>
      <w:r w:rsidRPr="00EE3356">
        <w:rPr>
          <w:rFonts w:ascii="Arial" w:hAnsi="Arial" w:cs="Arial"/>
          <w:sz w:val="21"/>
          <w:szCs w:val="21"/>
        </w:rPr>
        <w:t>Kokkuvõttes usume, et see muudatus aitab muuta hankemenetlused sihipärasemaks, kiiremaks ja vähem bürokraatlikuks, säilitades samas hankijate õiguse ja vastutuse kvaliteedi tagamisel.</w:t>
      </w:r>
      <w:r w:rsidRPr="00EE3356">
        <w:rPr>
          <w:rFonts w:ascii="Arial" w:hAnsi="Arial" w:cs="Arial"/>
          <w:sz w:val="21"/>
          <w:szCs w:val="21"/>
        </w:rPr>
        <w:br/>
      </w:r>
    </w:p>
    <w:p w14:paraId="52BBBE6D" w14:textId="77777777" w:rsidR="00763F26" w:rsidRPr="00EE3356" w:rsidRDefault="00763F26" w:rsidP="00763F26">
      <w:pPr>
        <w:spacing w:line="240" w:lineRule="auto"/>
        <w:rPr>
          <w:rFonts w:ascii="Arial" w:hAnsi="Arial" w:cs="Arial"/>
          <w:b/>
          <w:bCs/>
          <w:sz w:val="21"/>
          <w:szCs w:val="21"/>
        </w:rPr>
      </w:pPr>
      <w:r w:rsidRPr="00EE3356">
        <w:rPr>
          <w:rFonts w:ascii="Arial" w:hAnsi="Arial" w:cs="Arial"/>
          <w:b/>
          <w:bCs/>
          <w:sz w:val="21"/>
          <w:szCs w:val="21"/>
        </w:rPr>
        <w:t>Lisaks oleme 6. mail 2025 edastanud Rahandusministeeriumile ettepaneku, mille kohaselt algaks võrgustikusektori hankijatele hankekohustus alates rahvusvahelisest piirmäärast. Palume antud ettepanek võtta arvesse järgmise seaduse muudatuse korral.</w:t>
      </w:r>
    </w:p>
    <w:p w14:paraId="07854A58" w14:textId="77777777" w:rsidR="00763F26" w:rsidRPr="00EE3356" w:rsidRDefault="00763F26" w:rsidP="00763F26">
      <w:pPr>
        <w:spacing w:line="240" w:lineRule="auto"/>
        <w:rPr>
          <w:rFonts w:ascii="Arial" w:hAnsi="Arial" w:cs="Arial"/>
          <w:sz w:val="21"/>
          <w:szCs w:val="21"/>
        </w:rPr>
      </w:pPr>
      <w:r w:rsidRPr="00EE3356">
        <w:rPr>
          <w:rFonts w:ascii="Arial" w:hAnsi="Arial" w:cs="Arial"/>
          <w:sz w:val="21"/>
          <w:szCs w:val="21"/>
        </w:rPr>
        <w:t>Selle muudatuse eesmärk on suurendada paindlikkust ja vähendada halduskoormust, kus turuolukord, tehnilised eripärad ja ajakriitilised investeeringud nõuavad teistsugust lähenemist kui klassikalise sektori hankijatel.</w:t>
      </w:r>
    </w:p>
    <w:p w14:paraId="087F38E6" w14:textId="0668CE08" w:rsidR="00763F26" w:rsidRPr="00C631D6" w:rsidRDefault="00763F26" w:rsidP="00C631D6">
      <w:pPr>
        <w:spacing w:line="240" w:lineRule="auto"/>
        <w:rPr>
          <w:rFonts w:ascii="Arial" w:hAnsi="Arial" w:cs="Arial"/>
          <w:sz w:val="21"/>
          <w:szCs w:val="21"/>
        </w:rPr>
      </w:pPr>
      <w:r w:rsidRPr="00EE3356">
        <w:rPr>
          <w:rFonts w:ascii="Arial" w:hAnsi="Arial" w:cs="Arial"/>
          <w:sz w:val="21"/>
          <w:szCs w:val="21"/>
        </w:rPr>
        <w:t>Ettepanekul on laiapõhjaline toetus – seda toetavad kõik suuremad ning ka mitmed väiksemad võrgustikusektori hankijad.</w:t>
      </w:r>
      <w:r w:rsidRPr="00EE3356">
        <w:rPr>
          <w:rFonts w:ascii="Arial" w:hAnsi="Arial" w:cs="Arial"/>
          <w:sz w:val="21"/>
          <w:szCs w:val="21"/>
        </w:rPr>
        <w:br/>
      </w:r>
    </w:p>
    <w:p w14:paraId="28BBB5B8" w14:textId="77777777" w:rsidR="00763F26" w:rsidRDefault="00763F26" w:rsidP="00C631D6">
      <w:pPr>
        <w:spacing w:after="0" w:line="240" w:lineRule="auto"/>
      </w:pPr>
      <w:r w:rsidRPr="00DD0E45">
        <w:t xml:space="preserve">Lugupidamisega </w:t>
      </w:r>
    </w:p>
    <w:p w14:paraId="4437157B" w14:textId="77777777" w:rsidR="00763F26" w:rsidRDefault="00763F26" w:rsidP="00C631D6">
      <w:pPr>
        <w:spacing w:after="0" w:line="240" w:lineRule="auto"/>
      </w:pPr>
      <w:r>
        <w:br/>
      </w:r>
      <w:r w:rsidRPr="00DD0E45">
        <w:t xml:space="preserve">(allkirjastatud digitaalselt) </w:t>
      </w:r>
    </w:p>
    <w:p w14:paraId="5ADB438F" w14:textId="77777777" w:rsidR="00763F26" w:rsidRDefault="00763F26" w:rsidP="00C631D6">
      <w:pPr>
        <w:spacing w:after="0" w:line="240" w:lineRule="auto"/>
      </w:pPr>
    </w:p>
    <w:p w14:paraId="1D324776" w14:textId="3E113613" w:rsidR="00763F26" w:rsidRDefault="00763F26" w:rsidP="00C631D6">
      <w:pPr>
        <w:spacing w:after="0" w:line="240" w:lineRule="auto"/>
      </w:pPr>
      <w:r>
        <w:t>Kaarle Karp</w:t>
      </w:r>
    </w:p>
    <w:p w14:paraId="7CF28E7B" w14:textId="53EFD642" w:rsidR="00763F26" w:rsidRDefault="00763F26" w:rsidP="00C631D6">
      <w:pPr>
        <w:spacing w:after="0" w:line="240" w:lineRule="auto"/>
      </w:pPr>
      <w:r>
        <w:t>Hanketeenistuse juht</w:t>
      </w:r>
    </w:p>
    <w:p w14:paraId="740C1B21" w14:textId="2B2118CA" w:rsidR="00763F26" w:rsidRPr="00763F26" w:rsidRDefault="00763F26" w:rsidP="00C631D6">
      <w:pPr>
        <w:spacing w:after="0" w:line="240" w:lineRule="auto"/>
      </w:pPr>
      <w:r>
        <w:t>Eesti Energia AS</w:t>
      </w:r>
    </w:p>
    <w:p w14:paraId="25597B5A" w14:textId="77777777" w:rsidR="6D584A81" w:rsidRDefault="6D584A81" w:rsidP="6D584A81">
      <w:pPr>
        <w:rPr>
          <w:lang w:val="en-US"/>
        </w:rPr>
      </w:pPr>
    </w:p>
    <w:sectPr w:rsidR="6D584A81" w:rsidSect="00B4337C">
      <w:headerReference w:type="default" r:id="rId9"/>
      <w:footerReference w:type="default" r:id="rId10"/>
      <w:headerReference w:type="first" r:id="rId11"/>
      <w:footerReference w:type="first" r:id="rId12"/>
      <w:pgSz w:w="11906" w:h="16838"/>
      <w:pgMar w:top="1928" w:right="851" w:bottom="1701" w:left="1701"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EFA97" w14:textId="77777777" w:rsidR="00C943A9" w:rsidRDefault="00C943A9" w:rsidP="00984DF6">
      <w:pPr>
        <w:spacing w:after="0" w:line="240" w:lineRule="auto"/>
      </w:pPr>
      <w:r>
        <w:separator/>
      </w:r>
    </w:p>
  </w:endnote>
  <w:endnote w:type="continuationSeparator" w:id="0">
    <w:p w14:paraId="0472E874" w14:textId="77777777" w:rsidR="00C943A9" w:rsidRDefault="00C943A9" w:rsidP="00984DF6">
      <w:pPr>
        <w:spacing w:after="0" w:line="240" w:lineRule="auto"/>
      </w:pPr>
      <w:r>
        <w:continuationSeparator/>
      </w:r>
    </w:p>
  </w:endnote>
  <w:endnote w:type="continuationNotice" w:id="1">
    <w:p w14:paraId="56F2909B" w14:textId="77777777" w:rsidR="00C943A9" w:rsidRDefault="00C943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3347457"/>
      <w:docPartObj>
        <w:docPartGallery w:val="Page Numbers (Bottom of Page)"/>
        <w:docPartUnique/>
      </w:docPartObj>
    </w:sdtPr>
    <w:sdtEndPr>
      <w:rPr>
        <w:noProof/>
        <w:color w:val="2B2E36" w:themeColor="text1"/>
        <w:sz w:val="16"/>
        <w:szCs w:val="16"/>
      </w:rPr>
    </w:sdtEndPr>
    <w:sdtContent>
      <w:p w14:paraId="52C77A35" w14:textId="77777777" w:rsidR="005C606C" w:rsidRPr="00B35BE2" w:rsidRDefault="005C606C">
        <w:pPr>
          <w:pStyle w:val="Footer"/>
          <w:jc w:val="center"/>
          <w:rPr>
            <w:color w:val="2B2E36" w:themeColor="text1"/>
            <w:sz w:val="16"/>
            <w:szCs w:val="16"/>
          </w:rPr>
        </w:pPr>
        <w:r w:rsidRPr="00B35BE2">
          <w:rPr>
            <w:color w:val="2B2E36" w:themeColor="text1"/>
            <w:sz w:val="16"/>
            <w:szCs w:val="16"/>
          </w:rPr>
          <w:fldChar w:fldCharType="begin"/>
        </w:r>
        <w:r w:rsidRPr="00B35BE2">
          <w:rPr>
            <w:color w:val="2B2E36" w:themeColor="text1"/>
            <w:sz w:val="16"/>
            <w:szCs w:val="16"/>
          </w:rPr>
          <w:instrText xml:space="preserve"> PAGE   \* MERGEFORMAT </w:instrText>
        </w:r>
        <w:r w:rsidRPr="00B35BE2">
          <w:rPr>
            <w:color w:val="2B2E36" w:themeColor="text1"/>
            <w:sz w:val="16"/>
            <w:szCs w:val="16"/>
          </w:rPr>
          <w:fldChar w:fldCharType="separate"/>
        </w:r>
        <w:r w:rsidRPr="00B35BE2">
          <w:rPr>
            <w:noProof/>
            <w:color w:val="2B2E36" w:themeColor="text1"/>
            <w:sz w:val="16"/>
            <w:szCs w:val="16"/>
          </w:rPr>
          <w:t>2</w:t>
        </w:r>
        <w:r w:rsidRPr="00B35BE2">
          <w:rPr>
            <w:noProof/>
            <w:color w:val="2B2E36" w:themeColor="text1"/>
            <w:sz w:val="16"/>
            <w:szCs w:val="16"/>
          </w:rPr>
          <w:fldChar w:fldCharType="end"/>
        </w:r>
      </w:p>
    </w:sdtContent>
  </w:sdt>
  <w:p w14:paraId="49A8239D" w14:textId="77777777" w:rsidR="00E10E84" w:rsidRDefault="00E10E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1E879" w14:textId="77777777" w:rsidR="005D1ED4" w:rsidRDefault="005D1ED4">
    <w:pPr>
      <w:pStyle w:val="Footer"/>
    </w:pPr>
    <w:r>
      <w:rPr>
        <w:noProof/>
      </w:rPr>
      <mc:AlternateContent>
        <mc:Choice Requires="wps">
          <w:drawing>
            <wp:anchor distT="45720" distB="45720" distL="114300" distR="114300" simplePos="0" relativeHeight="251666432" behindDoc="0" locked="0" layoutInCell="1" allowOverlap="1" wp14:anchorId="46E4D36C" wp14:editId="538FBB76">
              <wp:simplePos x="0" y="0"/>
              <wp:positionH relativeFrom="margin">
                <wp:posOffset>-3810</wp:posOffset>
              </wp:positionH>
              <wp:positionV relativeFrom="paragraph">
                <wp:posOffset>-318135</wp:posOffset>
              </wp:positionV>
              <wp:extent cx="5935980" cy="457200"/>
              <wp:effectExtent l="0" t="0" r="762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457200"/>
                      </a:xfrm>
                      <a:prstGeom prst="rect">
                        <a:avLst/>
                      </a:prstGeom>
                      <a:noFill/>
                      <a:ln w="9525">
                        <a:no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035"/>
                            <w:gridCol w:w="3018"/>
                          </w:tblGrid>
                          <w:tr w:rsidR="00A76A9F" w:rsidRPr="00632A6F" w14:paraId="3B51A460" w14:textId="77777777" w:rsidTr="007D0194">
                            <w:tc>
                              <w:tcPr>
                                <w:tcW w:w="2830" w:type="dxa"/>
                                <w:tcMar>
                                  <w:left w:w="0" w:type="dxa"/>
                                  <w:right w:w="0" w:type="dxa"/>
                                </w:tcMar>
                              </w:tcPr>
                              <w:p w14:paraId="4C1786EB" w14:textId="77777777" w:rsidR="00A76A9F" w:rsidRPr="007D0194" w:rsidRDefault="00A76A9F" w:rsidP="00776F03">
                                <w:pPr>
                                  <w:rPr>
                                    <w:color w:val="2B2E36" w:themeColor="text1"/>
                                    <w:lang w:val="fi-FI"/>
                                  </w:rPr>
                                </w:pPr>
                                <w:r w:rsidRPr="007D0194">
                                  <w:rPr>
                                    <w:b/>
                                    <w:bCs/>
                                    <w:color w:val="2B2E36" w:themeColor="text1"/>
                                    <w:lang w:val="fi-FI"/>
                                  </w:rPr>
                                  <w:t>Eesti Energia AS</w:t>
                                </w:r>
                                <w:r w:rsidRPr="007D0194">
                                  <w:rPr>
                                    <w:color w:val="2B2E36" w:themeColor="text1"/>
                                    <w:lang w:val="fi-FI"/>
                                  </w:rPr>
                                  <w:br/>
                                </w:r>
                                <w:r w:rsidRPr="00A42B6A">
                                  <w:rPr>
                                    <w:color w:val="2B2E36" w:themeColor="text1"/>
                                  </w:rPr>
                                  <w:t>Lelle 22, 11318 Tallinn</w:t>
                                </w:r>
                              </w:p>
                            </w:tc>
                            <w:tc>
                              <w:tcPr>
                                <w:tcW w:w="3035" w:type="dxa"/>
                                <w:tcMar>
                                  <w:left w:w="0" w:type="dxa"/>
                                  <w:right w:w="0" w:type="dxa"/>
                                </w:tcMar>
                              </w:tcPr>
                              <w:p w14:paraId="3D9FB22C" w14:textId="77777777" w:rsidR="00A76A9F" w:rsidRPr="00632A6F" w:rsidRDefault="00632A6F" w:rsidP="00C66001">
                                <w:pPr>
                                  <w:rPr>
                                    <w:color w:val="2B2E36" w:themeColor="text1"/>
                                    <w:lang w:val="en-US"/>
                                  </w:rPr>
                                </w:pPr>
                                <w:r w:rsidRPr="00632A6F">
                                  <w:rPr>
                                    <w:color w:val="2B2E36" w:themeColor="text1"/>
                                    <w:lang w:val="en-US"/>
                                  </w:rPr>
                                  <w:t>Reg</w:t>
                                </w:r>
                                <w:r w:rsidR="0054006B">
                                  <w:rPr>
                                    <w:color w:val="2B2E36" w:themeColor="text1"/>
                                    <w:lang w:val="en-US"/>
                                  </w:rPr>
                                  <w:t xml:space="preserve">. </w:t>
                                </w:r>
                                <w:r w:rsidRPr="00632A6F">
                                  <w:rPr>
                                    <w:color w:val="2B2E36" w:themeColor="text1"/>
                                    <w:lang w:val="en-US"/>
                                  </w:rPr>
                                  <w:t>code</w:t>
                                </w:r>
                                <w:r w:rsidR="004E1266" w:rsidRPr="00632A6F">
                                  <w:rPr>
                                    <w:color w:val="2B2E36" w:themeColor="text1"/>
                                    <w:lang w:val="en-US"/>
                                  </w:rPr>
                                  <w:t>:</w:t>
                                </w:r>
                                <w:r w:rsidR="00603DB0" w:rsidRPr="00632A6F">
                                  <w:rPr>
                                    <w:color w:val="2B2E36" w:themeColor="text1"/>
                                    <w:lang w:val="en-US"/>
                                  </w:rPr>
                                  <w:t xml:space="preserve"> 10421629</w:t>
                                </w:r>
                                <w:r w:rsidR="00603DB0" w:rsidRPr="00632A6F">
                                  <w:rPr>
                                    <w:color w:val="2B2E36" w:themeColor="text1"/>
                                    <w:lang w:val="en-US"/>
                                  </w:rPr>
                                  <w:br/>
                                </w:r>
                                <w:r w:rsidR="007D0194">
                                  <w:rPr>
                                    <w:color w:val="2B2E36" w:themeColor="text1"/>
                                    <w:lang w:val="en-US"/>
                                  </w:rPr>
                                  <w:t>P</w:t>
                                </w:r>
                                <w:r w:rsidR="00634753" w:rsidRPr="00634753">
                                  <w:rPr>
                                    <w:color w:val="2B2E36" w:themeColor="text1"/>
                                    <w:lang w:val="en-US"/>
                                  </w:rPr>
                                  <w:t>hone</w:t>
                                </w:r>
                                <w:r w:rsidR="004E1266" w:rsidRPr="00632A6F">
                                  <w:rPr>
                                    <w:color w:val="2B2E36" w:themeColor="text1"/>
                                    <w:lang w:val="en-US"/>
                                  </w:rPr>
                                  <w:t>:</w:t>
                                </w:r>
                                <w:r w:rsidR="00A76A9F" w:rsidRPr="00632A6F">
                                  <w:rPr>
                                    <w:color w:val="2B2E36" w:themeColor="text1"/>
                                    <w:lang w:val="en-US"/>
                                  </w:rPr>
                                  <w:t xml:space="preserve"> +372 465 2222</w:t>
                                </w:r>
                              </w:p>
                            </w:tc>
                            <w:tc>
                              <w:tcPr>
                                <w:tcW w:w="3018" w:type="dxa"/>
                              </w:tcPr>
                              <w:p w14:paraId="328322CB" w14:textId="77777777" w:rsidR="001D6FC4" w:rsidRPr="00632A6F" w:rsidRDefault="004E1266" w:rsidP="001D6FC4">
                                <w:pPr>
                                  <w:rPr>
                                    <w:color w:val="2B2E36" w:themeColor="text1"/>
                                    <w:lang w:val="en-US"/>
                                  </w:rPr>
                                </w:pPr>
                                <w:r w:rsidRPr="00632A6F">
                                  <w:rPr>
                                    <w:color w:val="2B2E36" w:themeColor="text1"/>
                                    <w:lang w:val="en-US"/>
                                  </w:rPr>
                                  <w:t>E-</w:t>
                                </w:r>
                                <w:r w:rsidR="000221F3">
                                  <w:rPr>
                                    <w:color w:val="2B2E36" w:themeColor="text1"/>
                                    <w:lang w:val="en-US"/>
                                  </w:rPr>
                                  <w:t>mail</w:t>
                                </w:r>
                                <w:r w:rsidRPr="00632A6F">
                                  <w:rPr>
                                    <w:color w:val="2B2E36" w:themeColor="text1"/>
                                    <w:lang w:val="en-US"/>
                                  </w:rPr>
                                  <w:t xml:space="preserve">: </w:t>
                                </w:r>
                                <w:r w:rsidR="00D20DA4">
                                  <w:t>info@energia.ee</w:t>
                                </w:r>
                              </w:p>
                              <w:p w14:paraId="6BDA934B" w14:textId="77777777" w:rsidR="00A76A9F" w:rsidRPr="00632A6F" w:rsidRDefault="002A5F4D" w:rsidP="001D6FC4">
                                <w:pPr>
                                  <w:rPr>
                                    <w:color w:val="2B2E36" w:themeColor="text1"/>
                                    <w:lang w:val="en-US"/>
                                  </w:rPr>
                                </w:pPr>
                                <w:hyperlink r:id="rId1" w:history="1">
                                  <w:r w:rsidRPr="00632A6F">
                                    <w:rPr>
                                      <w:rStyle w:val="Hyperlink"/>
                                      <w:color w:val="2B2E36" w:themeColor="text1"/>
                                      <w:u w:val="none"/>
                                      <w:lang w:val="en-US"/>
                                    </w:rPr>
                                    <w:t>www.enefit.com</w:t>
                                  </w:r>
                                </w:hyperlink>
                                <w:r w:rsidRPr="00632A6F">
                                  <w:rPr>
                                    <w:color w:val="2B2E36" w:themeColor="text1"/>
                                    <w:lang w:val="en-US"/>
                                  </w:rPr>
                                  <w:t xml:space="preserve"> </w:t>
                                </w:r>
                              </w:p>
                            </w:tc>
                          </w:tr>
                        </w:tbl>
                        <w:p w14:paraId="461BC1BA" w14:textId="77777777" w:rsidR="005D1ED4" w:rsidRPr="00632A6F" w:rsidRDefault="005D1ED4" w:rsidP="00776F03">
                          <w:pPr>
                            <w:spacing w:after="0"/>
                            <w:rPr>
                              <w:lang w:val="en-US"/>
                            </w:rPr>
                          </w:pPr>
                        </w:p>
                      </w:txbxContent>
                    </wps:txbx>
                    <wps:bodyPr rot="0" vert="horz" wrap="square" lIns="0" tIns="0" rIns="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E4D36C" id="_x0000_t202" coordsize="21600,21600" o:spt="202" path="m,l,21600r21600,l21600,xe">
              <v:stroke joinstyle="miter"/>
              <v:path gradientshapeok="t" o:connecttype="rect"/>
            </v:shapetype>
            <v:shape id="Text Box 2" o:spid="_x0000_s1026" type="#_x0000_t202" style="position:absolute;left:0;text-align:left;margin-left:-.3pt;margin-top:-25.05pt;width:467.4pt;height:36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" filled="f" stroked="f">
              <v:textbox inset="0,0,0,1mm">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035"/>
                      <w:gridCol w:w="3018"/>
                    </w:tblGrid>
                    <w:tr w:rsidR="00A76A9F" w:rsidRPr="00632A6F" w14:paraId="3B51A460" w14:textId="77777777" w:rsidTr="007D0194">
                      <w:tc>
                        <w:tcPr>
                          <w:tcW w:w="2830" w:type="dxa"/>
                          <w:tcMar>
                            <w:left w:w="0" w:type="dxa"/>
                            <w:right w:w="0" w:type="dxa"/>
                          </w:tcMar>
                        </w:tcPr>
                        <w:p w14:paraId="4C1786EB" w14:textId="77777777" w:rsidR="00A76A9F" w:rsidRPr="007D0194" w:rsidRDefault="00A76A9F" w:rsidP="00776F03">
                          <w:pPr>
                            <w:rPr>
                              <w:color w:val="2B2E36" w:themeColor="text1"/>
                              <w:lang w:val="fi-FI"/>
                            </w:rPr>
                          </w:pPr>
                          <w:r w:rsidRPr="007D0194">
                            <w:rPr>
                              <w:b/>
                              <w:bCs/>
                              <w:color w:val="2B2E36" w:themeColor="text1"/>
                              <w:lang w:val="fi-FI"/>
                            </w:rPr>
                            <w:t>Eesti Energia AS</w:t>
                          </w:r>
                          <w:r w:rsidRPr="007D0194">
                            <w:rPr>
                              <w:color w:val="2B2E36" w:themeColor="text1"/>
                              <w:lang w:val="fi-FI"/>
                            </w:rPr>
                            <w:br/>
                          </w:r>
                          <w:r w:rsidRPr="00A42B6A">
                            <w:rPr>
                              <w:color w:val="2B2E36" w:themeColor="text1"/>
                            </w:rPr>
                            <w:t>Lelle 22, 11318 Tallinn</w:t>
                          </w:r>
                        </w:p>
                      </w:tc>
                      <w:tc>
                        <w:tcPr>
                          <w:tcW w:w="3035" w:type="dxa"/>
                          <w:tcMar>
                            <w:left w:w="0" w:type="dxa"/>
                            <w:right w:w="0" w:type="dxa"/>
                          </w:tcMar>
                        </w:tcPr>
                        <w:p w14:paraId="3D9FB22C" w14:textId="77777777" w:rsidR="00A76A9F" w:rsidRPr="00632A6F" w:rsidRDefault="00632A6F" w:rsidP="00C66001">
                          <w:pPr>
                            <w:rPr>
                              <w:color w:val="2B2E36" w:themeColor="text1"/>
                              <w:lang w:val="en-US"/>
                            </w:rPr>
                          </w:pPr>
                          <w:r w:rsidRPr="00632A6F">
                            <w:rPr>
                              <w:color w:val="2B2E36" w:themeColor="text1"/>
                              <w:lang w:val="en-US"/>
                            </w:rPr>
                            <w:t>Reg</w:t>
                          </w:r>
                          <w:r w:rsidR="0054006B">
                            <w:rPr>
                              <w:color w:val="2B2E36" w:themeColor="text1"/>
                              <w:lang w:val="en-US"/>
                            </w:rPr>
                            <w:t xml:space="preserve">. </w:t>
                          </w:r>
                          <w:r w:rsidRPr="00632A6F">
                            <w:rPr>
                              <w:color w:val="2B2E36" w:themeColor="text1"/>
                              <w:lang w:val="en-US"/>
                            </w:rPr>
                            <w:t>code</w:t>
                          </w:r>
                          <w:r w:rsidR="004E1266" w:rsidRPr="00632A6F">
                            <w:rPr>
                              <w:color w:val="2B2E36" w:themeColor="text1"/>
                              <w:lang w:val="en-US"/>
                            </w:rPr>
                            <w:t>:</w:t>
                          </w:r>
                          <w:r w:rsidR="00603DB0" w:rsidRPr="00632A6F">
                            <w:rPr>
                              <w:color w:val="2B2E36" w:themeColor="text1"/>
                              <w:lang w:val="en-US"/>
                            </w:rPr>
                            <w:t xml:space="preserve"> 10421629</w:t>
                          </w:r>
                          <w:r w:rsidR="00603DB0" w:rsidRPr="00632A6F">
                            <w:rPr>
                              <w:color w:val="2B2E36" w:themeColor="text1"/>
                              <w:lang w:val="en-US"/>
                            </w:rPr>
                            <w:br/>
                          </w:r>
                          <w:r w:rsidR="007D0194">
                            <w:rPr>
                              <w:color w:val="2B2E36" w:themeColor="text1"/>
                              <w:lang w:val="en-US"/>
                            </w:rPr>
                            <w:t>P</w:t>
                          </w:r>
                          <w:r w:rsidR="00634753" w:rsidRPr="00634753">
                            <w:rPr>
                              <w:color w:val="2B2E36" w:themeColor="text1"/>
                              <w:lang w:val="en-US"/>
                            </w:rPr>
                            <w:t>hone</w:t>
                          </w:r>
                          <w:r w:rsidR="004E1266" w:rsidRPr="00632A6F">
                            <w:rPr>
                              <w:color w:val="2B2E36" w:themeColor="text1"/>
                              <w:lang w:val="en-US"/>
                            </w:rPr>
                            <w:t>:</w:t>
                          </w:r>
                          <w:r w:rsidR="00A76A9F" w:rsidRPr="00632A6F">
                            <w:rPr>
                              <w:color w:val="2B2E36" w:themeColor="text1"/>
                              <w:lang w:val="en-US"/>
                            </w:rPr>
                            <w:t xml:space="preserve"> +372 465 2222</w:t>
                          </w:r>
                        </w:p>
                      </w:tc>
                      <w:tc>
                        <w:tcPr>
                          <w:tcW w:w="3018" w:type="dxa"/>
                        </w:tcPr>
                        <w:p w14:paraId="328322CB" w14:textId="77777777" w:rsidR="001D6FC4" w:rsidRPr="00632A6F" w:rsidRDefault="004E1266" w:rsidP="001D6FC4">
                          <w:pPr>
                            <w:rPr>
                              <w:color w:val="2B2E36" w:themeColor="text1"/>
                              <w:lang w:val="en-US"/>
                            </w:rPr>
                          </w:pPr>
                          <w:r w:rsidRPr="00632A6F">
                            <w:rPr>
                              <w:color w:val="2B2E36" w:themeColor="text1"/>
                              <w:lang w:val="en-US"/>
                            </w:rPr>
                            <w:t>E-</w:t>
                          </w:r>
                          <w:r w:rsidR="000221F3">
                            <w:rPr>
                              <w:color w:val="2B2E36" w:themeColor="text1"/>
                              <w:lang w:val="en-US"/>
                            </w:rPr>
                            <w:t>mail</w:t>
                          </w:r>
                          <w:r w:rsidRPr="00632A6F">
                            <w:rPr>
                              <w:color w:val="2B2E36" w:themeColor="text1"/>
                              <w:lang w:val="en-US"/>
                            </w:rPr>
                            <w:t xml:space="preserve">: </w:t>
                          </w:r>
                          <w:r w:rsidR="00D20DA4">
                            <w:t>info@energia.ee</w:t>
                          </w:r>
                        </w:p>
                        <w:p w14:paraId="6BDA934B" w14:textId="77777777" w:rsidR="00A76A9F" w:rsidRPr="00632A6F" w:rsidRDefault="002A5F4D" w:rsidP="001D6FC4">
                          <w:pPr>
                            <w:rPr>
                              <w:color w:val="2B2E36" w:themeColor="text1"/>
                              <w:lang w:val="en-US"/>
                            </w:rPr>
                          </w:pPr>
                          <w:hyperlink r:id="rId2" w:history="1">
                            <w:r w:rsidRPr="00632A6F">
                              <w:rPr>
                                <w:rStyle w:val="Hyperlink"/>
                                <w:color w:val="2B2E36" w:themeColor="text1"/>
                                <w:u w:val="none"/>
                                <w:lang w:val="en-US"/>
                              </w:rPr>
                              <w:t>www.enefit.com</w:t>
                            </w:r>
                          </w:hyperlink>
                          <w:r w:rsidRPr="00632A6F">
                            <w:rPr>
                              <w:color w:val="2B2E36" w:themeColor="text1"/>
                              <w:lang w:val="en-US"/>
                            </w:rPr>
                            <w:t xml:space="preserve"> </w:t>
                          </w:r>
                        </w:p>
                      </w:tc>
                    </w:tr>
                  </w:tbl>
                  <w:p w14:paraId="461BC1BA" w14:textId="77777777" w:rsidR="005D1ED4" w:rsidRPr="00632A6F" w:rsidRDefault="005D1ED4" w:rsidP="00776F03">
                    <w:pPr>
                      <w:spacing w:after="0"/>
                      <w:rPr>
                        <w:lang w:val="en-US"/>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036B8" w14:textId="77777777" w:rsidR="00C943A9" w:rsidRDefault="00C943A9" w:rsidP="00984DF6">
      <w:pPr>
        <w:spacing w:after="0" w:line="240" w:lineRule="auto"/>
      </w:pPr>
      <w:r>
        <w:separator/>
      </w:r>
    </w:p>
  </w:footnote>
  <w:footnote w:type="continuationSeparator" w:id="0">
    <w:p w14:paraId="5A35D3B2" w14:textId="77777777" w:rsidR="00C943A9" w:rsidRDefault="00C943A9" w:rsidP="00984DF6">
      <w:pPr>
        <w:spacing w:after="0" w:line="240" w:lineRule="auto"/>
      </w:pPr>
      <w:r>
        <w:continuationSeparator/>
      </w:r>
    </w:p>
  </w:footnote>
  <w:footnote w:type="continuationNotice" w:id="1">
    <w:p w14:paraId="557D731E" w14:textId="77777777" w:rsidR="00C943A9" w:rsidRDefault="00C943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6D584A81" w14:paraId="0ED40667" w14:textId="77777777" w:rsidTr="6D584A81">
      <w:trPr>
        <w:trHeight w:val="300"/>
      </w:trPr>
      <w:tc>
        <w:tcPr>
          <w:tcW w:w="3115" w:type="dxa"/>
        </w:tcPr>
        <w:p w14:paraId="1A6C7AA6" w14:textId="77777777" w:rsidR="6D584A81" w:rsidRDefault="6D584A81" w:rsidP="6D584A81">
          <w:pPr>
            <w:pStyle w:val="Header"/>
            <w:ind w:left="-115"/>
            <w:jc w:val="left"/>
          </w:pPr>
        </w:p>
      </w:tc>
      <w:tc>
        <w:tcPr>
          <w:tcW w:w="3115" w:type="dxa"/>
        </w:tcPr>
        <w:p w14:paraId="4EA9FAAF" w14:textId="77777777" w:rsidR="6D584A81" w:rsidRDefault="6D584A81" w:rsidP="6D584A81">
          <w:pPr>
            <w:pStyle w:val="Header"/>
            <w:jc w:val="center"/>
          </w:pPr>
        </w:p>
      </w:tc>
      <w:tc>
        <w:tcPr>
          <w:tcW w:w="3115" w:type="dxa"/>
        </w:tcPr>
        <w:p w14:paraId="6A02F73E" w14:textId="77777777" w:rsidR="6D584A81" w:rsidRDefault="6D584A81" w:rsidP="6D584A81">
          <w:pPr>
            <w:pStyle w:val="Header"/>
            <w:ind w:right="-115"/>
            <w:jc w:val="right"/>
          </w:pPr>
        </w:p>
      </w:tc>
    </w:tr>
  </w:tbl>
  <w:p w14:paraId="77066113" w14:textId="77777777" w:rsidR="6D584A81" w:rsidRDefault="6D584A81" w:rsidP="6D584A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41934" w14:textId="77777777" w:rsidR="0071068A" w:rsidRDefault="002D4DB2">
    <w:pPr>
      <w:pStyle w:val="Header"/>
    </w:pPr>
    <w:r w:rsidRPr="002D4DB2">
      <w:rPr>
        <w:noProof/>
      </w:rPr>
      <w:drawing>
        <wp:anchor distT="0" distB="0" distL="114300" distR="114300" simplePos="0" relativeHeight="251664384" behindDoc="0" locked="0" layoutInCell="1" allowOverlap="1" wp14:anchorId="2F550CF7" wp14:editId="6CDF203E">
          <wp:simplePos x="0" y="0"/>
          <wp:positionH relativeFrom="margin">
            <wp:posOffset>0</wp:posOffset>
          </wp:positionH>
          <wp:positionV relativeFrom="paragraph">
            <wp:posOffset>12065</wp:posOffset>
          </wp:positionV>
          <wp:extent cx="2800800" cy="370800"/>
          <wp:effectExtent l="0" t="0" r="0" b="0"/>
          <wp:wrapNone/>
          <wp:docPr id="5" name="Graphic 4">
            <a:extLst xmlns:a="http://schemas.openxmlformats.org/drawingml/2006/main">
              <a:ext uri="{FF2B5EF4-FFF2-40B4-BE49-F238E27FC236}">
                <a16:creationId xmlns:a16="http://schemas.microsoft.com/office/drawing/2014/main" id="{2744C9E6-77F5-151F-3F38-EDEA062BBB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2744C9E6-77F5-151F-3F38-EDEA062BBB17}"/>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2800800" cy="370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F26"/>
    <w:rsid w:val="000221F3"/>
    <w:rsid w:val="000E3BA1"/>
    <w:rsid w:val="000F4013"/>
    <w:rsid w:val="00143CAD"/>
    <w:rsid w:val="00186713"/>
    <w:rsid w:val="001A600D"/>
    <w:rsid w:val="001D6FC4"/>
    <w:rsid w:val="00201007"/>
    <w:rsid w:val="00203975"/>
    <w:rsid w:val="00203C7D"/>
    <w:rsid w:val="00231AF4"/>
    <w:rsid w:val="0023268E"/>
    <w:rsid w:val="0028378B"/>
    <w:rsid w:val="00285902"/>
    <w:rsid w:val="00294A1B"/>
    <w:rsid w:val="00294C02"/>
    <w:rsid w:val="002A120E"/>
    <w:rsid w:val="002A5F4D"/>
    <w:rsid w:val="002B0657"/>
    <w:rsid w:val="002D4DB2"/>
    <w:rsid w:val="002E62D0"/>
    <w:rsid w:val="002F7970"/>
    <w:rsid w:val="002F7D6E"/>
    <w:rsid w:val="00316FC8"/>
    <w:rsid w:val="00386A58"/>
    <w:rsid w:val="003A5640"/>
    <w:rsid w:val="003C1EDE"/>
    <w:rsid w:val="00404635"/>
    <w:rsid w:val="004268FF"/>
    <w:rsid w:val="00445335"/>
    <w:rsid w:val="00466501"/>
    <w:rsid w:val="00470083"/>
    <w:rsid w:val="004905F0"/>
    <w:rsid w:val="004E1266"/>
    <w:rsid w:val="004E32DD"/>
    <w:rsid w:val="00521319"/>
    <w:rsid w:val="0054006B"/>
    <w:rsid w:val="00545A1B"/>
    <w:rsid w:val="0054781C"/>
    <w:rsid w:val="005A1605"/>
    <w:rsid w:val="005B6C30"/>
    <w:rsid w:val="005C0E7E"/>
    <w:rsid w:val="005C606C"/>
    <w:rsid w:val="005D1ED4"/>
    <w:rsid w:val="00603DB0"/>
    <w:rsid w:val="006265A1"/>
    <w:rsid w:val="00632A6F"/>
    <w:rsid w:val="00634753"/>
    <w:rsid w:val="00637371"/>
    <w:rsid w:val="00647030"/>
    <w:rsid w:val="00654853"/>
    <w:rsid w:val="006745F2"/>
    <w:rsid w:val="006754A2"/>
    <w:rsid w:val="006D7063"/>
    <w:rsid w:val="006F29E9"/>
    <w:rsid w:val="007002D0"/>
    <w:rsid w:val="0071068A"/>
    <w:rsid w:val="0072045E"/>
    <w:rsid w:val="00733149"/>
    <w:rsid w:val="00763F26"/>
    <w:rsid w:val="00767D25"/>
    <w:rsid w:val="00776F03"/>
    <w:rsid w:val="00785CEF"/>
    <w:rsid w:val="007949E1"/>
    <w:rsid w:val="00797924"/>
    <w:rsid w:val="00797C21"/>
    <w:rsid w:val="007A5217"/>
    <w:rsid w:val="007C735F"/>
    <w:rsid w:val="007D0194"/>
    <w:rsid w:val="007E5D90"/>
    <w:rsid w:val="007E5DBF"/>
    <w:rsid w:val="007E6DA7"/>
    <w:rsid w:val="0080750B"/>
    <w:rsid w:val="008115C2"/>
    <w:rsid w:val="0081334A"/>
    <w:rsid w:val="008315B4"/>
    <w:rsid w:val="00833AB4"/>
    <w:rsid w:val="00860AE8"/>
    <w:rsid w:val="0086681F"/>
    <w:rsid w:val="00870125"/>
    <w:rsid w:val="00883A57"/>
    <w:rsid w:val="008F5614"/>
    <w:rsid w:val="0091053B"/>
    <w:rsid w:val="00922B40"/>
    <w:rsid w:val="009531C4"/>
    <w:rsid w:val="00984DF6"/>
    <w:rsid w:val="009A59B5"/>
    <w:rsid w:val="009B52FF"/>
    <w:rsid w:val="009C6865"/>
    <w:rsid w:val="009F1221"/>
    <w:rsid w:val="00A42B6A"/>
    <w:rsid w:val="00A76A9F"/>
    <w:rsid w:val="00AD4C66"/>
    <w:rsid w:val="00AE552D"/>
    <w:rsid w:val="00B03DEC"/>
    <w:rsid w:val="00B06D9C"/>
    <w:rsid w:val="00B07B87"/>
    <w:rsid w:val="00B11E17"/>
    <w:rsid w:val="00B15644"/>
    <w:rsid w:val="00B35BE2"/>
    <w:rsid w:val="00B4337C"/>
    <w:rsid w:val="00B53AD5"/>
    <w:rsid w:val="00B84E81"/>
    <w:rsid w:val="00B94507"/>
    <w:rsid w:val="00BA5320"/>
    <w:rsid w:val="00BF0EC2"/>
    <w:rsid w:val="00BF5B9D"/>
    <w:rsid w:val="00C07377"/>
    <w:rsid w:val="00C31580"/>
    <w:rsid w:val="00C631D6"/>
    <w:rsid w:val="00C66001"/>
    <w:rsid w:val="00C724D4"/>
    <w:rsid w:val="00C943A9"/>
    <w:rsid w:val="00CA5B6E"/>
    <w:rsid w:val="00CC0D40"/>
    <w:rsid w:val="00CD7193"/>
    <w:rsid w:val="00D20DA4"/>
    <w:rsid w:val="00D22C45"/>
    <w:rsid w:val="00D278D2"/>
    <w:rsid w:val="00D30553"/>
    <w:rsid w:val="00D438BE"/>
    <w:rsid w:val="00D623DC"/>
    <w:rsid w:val="00D63C6B"/>
    <w:rsid w:val="00D716CA"/>
    <w:rsid w:val="00D73575"/>
    <w:rsid w:val="00D808B3"/>
    <w:rsid w:val="00D979BD"/>
    <w:rsid w:val="00DD0E96"/>
    <w:rsid w:val="00E021C5"/>
    <w:rsid w:val="00E048BC"/>
    <w:rsid w:val="00E10E84"/>
    <w:rsid w:val="00E1569F"/>
    <w:rsid w:val="00E659D1"/>
    <w:rsid w:val="00EB28DF"/>
    <w:rsid w:val="00EC4302"/>
    <w:rsid w:val="00EF7644"/>
    <w:rsid w:val="00F179F0"/>
    <w:rsid w:val="00F7250D"/>
    <w:rsid w:val="00F74BBC"/>
    <w:rsid w:val="00FC5440"/>
    <w:rsid w:val="00FE298C"/>
    <w:rsid w:val="19364A21"/>
    <w:rsid w:val="1E18CF21"/>
    <w:rsid w:val="244A5403"/>
    <w:rsid w:val="4DD99394"/>
    <w:rsid w:val="5B9C55F5"/>
    <w:rsid w:val="6D584A81"/>
    <w:rsid w:val="6EF7C7B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BB134C"/>
  <w15:chartTrackingRefBased/>
  <w15:docId w15:val="{B0832D16-C539-4556-9AC9-365C0462F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F26"/>
  </w:style>
  <w:style w:type="paragraph" w:styleId="Heading1">
    <w:name w:val="heading 1"/>
    <w:basedOn w:val="Normal"/>
    <w:next w:val="Normal"/>
    <w:link w:val="Heading1Char"/>
    <w:uiPriority w:val="9"/>
    <w:qFormat/>
    <w:rsid w:val="00470083"/>
    <w:pPr>
      <w:keepNext/>
      <w:keepLines/>
      <w:spacing w:before="240" w:after="0" w:line="276" w:lineRule="auto"/>
      <w:jc w:val="both"/>
      <w:outlineLvl w:val="0"/>
    </w:pPr>
    <w:rPr>
      <w:rFonts w:asciiTheme="majorHAnsi" w:eastAsiaTheme="majorEastAsia" w:hAnsiTheme="majorHAnsi" w:cstheme="majorBidi"/>
      <w:color w:val="202228"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DF6"/>
    <w:pPr>
      <w:tabs>
        <w:tab w:val="center" w:pos="4536"/>
        <w:tab w:val="right" w:pos="9072"/>
      </w:tabs>
      <w:spacing w:after="0" w:line="240" w:lineRule="auto"/>
      <w:jc w:val="both"/>
    </w:pPr>
    <w:rPr>
      <w:color w:val="2B2E36"/>
      <w:sz w:val="20"/>
    </w:rPr>
  </w:style>
  <w:style w:type="character" w:customStyle="1" w:styleId="HeaderChar">
    <w:name w:val="Header Char"/>
    <w:basedOn w:val="DefaultParagraphFont"/>
    <w:link w:val="Header"/>
    <w:uiPriority w:val="99"/>
    <w:rsid w:val="00984DF6"/>
  </w:style>
  <w:style w:type="paragraph" w:styleId="Footer">
    <w:name w:val="footer"/>
    <w:basedOn w:val="Normal"/>
    <w:link w:val="FooterChar"/>
    <w:uiPriority w:val="99"/>
    <w:unhideWhenUsed/>
    <w:rsid w:val="00984DF6"/>
    <w:pPr>
      <w:tabs>
        <w:tab w:val="center" w:pos="4536"/>
        <w:tab w:val="right" w:pos="9072"/>
      </w:tabs>
      <w:spacing w:after="0" w:line="240" w:lineRule="auto"/>
      <w:jc w:val="both"/>
    </w:pPr>
    <w:rPr>
      <w:color w:val="2B2E36"/>
      <w:sz w:val="20"/>
    </w:rPr>
  </w:style>
  <w:style w:type="character" w:customStyle="1" w:styleId="FooterChar">
    <w:name w:val="Footer Char"/>
    <w:basedOn w:val="DefaultParagraphFont"/>
    <w:link w:val="Footer"/>
    <w:uiPriority w:val="99"/>
    <w:rsid w:val="00984DF6"/>
  </w:style>
  <w:style w:type="table" w:styleId="TableGrid">
    <w:name w:val="Table Grid"/>
    <w:basedOn w:val="TableNormal"/>
    <w:uiPriority w:val="39"/>
    <w:rsid w:val="005C0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02D0"/>
    <w:rPr>
      <w:color w:val="00973A" w:themeColor="hyperlink"/>
      <w:u w:val="single"/>
    </w:rPr>
  </w:style>
  <w:style w:type="character" w:styleId="UnresolvedMention">
    <w:name w:val="Unresolved Mention"/>
    <w:basedOn w:val="DefaultParagraphFont"/>
    <w:uiPriority w:val="99"/>
    <w:semiHidden/>
    <w:unhideWhenUsed/>
    <w:rsid w:val="007002D0"/>
    <w:rPr>
      <w:color w:val="605E5C"/>
      <w:shd w:val="clear" w:color="auto" w:fill="E1DFDD"/>
    </w:rPr>
  </w:style>
  <w:style w:type="character" w:customStyle="1" w:styleId="Heading1Char">
    <w:name w:val="Heading 1 Char"/>
    <w:basedOn w:val="DefaultParagraphFont"/>
    <w:link w:val="Heading1"/>
    <w:uiPriority w:val="9"/>
    <w:rsid w:val="00470083"/>
    <w:rPr>
      <w:rFonts w:asciiTheme="majorHAnsi" w:eastAsiaTheme="majorEastAsia" w:hAnsiTheme="majorHAnsi" w:cstheme="majorBidi"/>
      <w:color w:val="202228"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enefit.com" TargetMode="External"/><Relationship Id="rId1" Type="http://schemas.openxmlformats.org/officeDocument/2006/relationships/hyperlink" Target="http://www.enefit.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energiaee.sharepoint.com/sites/EnefitMedia/Office%20Template%20Library/Word%20templates/Eesti%20Energia/eesti_energia_kirjaplank_eng%20(1).dotx" TargetMode="External"/></Relationships>
</file>

<file path=word/theme/theme1.xml><?xml version="1.0" encoding="utf-8"?>
<a:theme xmlns:a="http://schemas.openxmlformats.org/drawingml/2006/main" name="Office Theme">
  <a:themeElements>
    <a:clrScheme name="Custom 97">
      <a:dk1>
        <a:srgbClr val="2B2E36"/>
      </a:dk1>
      <a:lt1>
        <a:sysClr val="window" lastClr="FFFFFF"/>
      </a:lt1>
      <a:dk2>
        <a:srgbClr val="2B2E36"/>
      </a:dk2>
      <a:lt2>
        <a:srgbClr val="E7E6E6"/>
      </a:lt2>
      <a:accent1>
        <a:srgbClr val="2B2E36"/>
      </a:accent1>
      <a:accent2>
        <a:srgbClr val="00973A"/>
      </a:accent2>
      <a:accent3>
        <a:srgbClr val="E2DED9"/>
      </a:accent3>
      <a:accent4>
        <a:srgbClr val="7EB074"/>
      </a:accent4>
      <a:accent5>
        <a:srgbClr val="FFD481"/>
      </a:accent5>
      <a:accent6>
        <a:srgbClr val="8DAACF"/>
      </a:accent6>
      <a:hlink>
        <a:srgbClr val="00973A"/>
      </a:hlink>
      <a:folHlink>
        <a:srgbClr val="00973A"/>
      </a:folHlink>
    </a:clrScheme>
    <a:fontScheme name="Custom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AFF063431CC34898926DC791327598" ma:contentTypeVersion="4" ma:contentTypeDescription="Create a new document." ma:contentTypeScope="" ma:versionID="2923bed19ef438d50d2f7203f27b4fe2">
  <xsd:schema xmlns:xsd="http://www.w3.org/2001/XMLSchema" xmlns:xs="http://www.w3.org/2001/XMLSchema" xmlns:p="http://schemas.microsoft.com/office/2006/metadata/properties" xmlns:ns2="0ecc2a4f-338a-4785-ad29-4d1d96d4438a" targetNamespace="http://schemas.microsoft.com/office/2006/metadata/properties" ma:root="true" ma:fieldsID="1bb98e3941ed1b869e9a9431adec9625" ns2:_="">
    <xsd:import namespace="0ecc2a4f-338a-4785-ad29-4d1d96d443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c2a4f-338a-4785-ad29-4d1d96d44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921EA5-724D-4E86-B564-ACD084859C7D}">
  <ds:schemaRefs>
    <ds:schemaRef ds:uri="http://schemas.microsoft.com/sharepoint/v3/contenttype/forms"/>
  </ds:schemaRefs>
</ds:datastoreItem>
</file>

<file path=customXml/itemProps2.xml><?xml version="1.0" encoding="utf-8"?>
<ds:datastoreItem xmlns:ds="http://schemas.openxmlformats.org/officeDocument/2006/customXml" ds:itemID="{BB91E8A1-71C2-4AE2-98B1-F1663B827E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2F80C9-6487-4566-9BE1-D0384F839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cc2a4f-338a-4785-ad29-4d1d96d44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eesti_energia_kirjaplank_eng%20(1).dotx</Template>
  <TotalTime>5</TotalTime>
  <Pages>4</Pages>
  <Words>1608</Words>
  <Characters>9328</Characters>
  <Application>Microsoft Office Word</Application>
  <DocSecurity>0</DocSecurity>
  <Lines>77</Lines>
  <Paragraphs>21</Paragraphs>
  <ScaleCrop>false</ScaleCrop>
  <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Iglina</dc:creator>
  <cp:keywords/>
  <dc:description/>
  <cp:lastModifiedBy>Jelena Iglina</cp:lastModifiedBy>
  <cp:revision>2</cp:revision>
  <dcterms:created xsi:type="dcterms:W3CDTF">2025-05-30T10:52:00Z</dcterms:created>
  <dcterms:modified xsi:type="dcterms:W3CDTF">2025-05-30T11:00:00Z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0x0101001BAFF063431CC34898926DC791327598</vt:lpwstr>
  </property>
  <property fmtid="{D5CDD505-2E9C-101B-9397-08002B2CF9AE}" pid="3" name="MediaServiceImageTags">
    <vt:lpwstr/>
  </property>
</Properties>
</file>